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8-e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R1-2201177</w:t>
      </w:r>
    </w:p>
    <w:p>
      <w:pPr>
        <w:pStyle w:val="37"/>
        <w:jc w:val="both"/>
        <w:rPr>
          <w:i w:val="0"/>
          <w:iCs/>
        </w:rPr>
      </w:pPr>
      <w:r>
        <w:rPr>
          <w:rFonts w:eastAsia="Times New Roman" w:cs="Arial"/>
          <w:bCs/>
          <w:i w:val="0"/>
          <w:iCs/>
          <w:sz w:val="22"/>
          <w:szCs w:val="22"/>
          <w:lang w:eastAsia="ja-JP"/>
        </w:rPr>
        <w:t>e-Meeting, February 21</w:t>
      </w:r>
      <w:r>
        <w:rPr>
          <w:rFonts w:eastAsia="Times New Roman" w:cs="Arial"/>
          <w:bCs/>
          <w:i w:val="0"/>
          <w:iCs/>
          <w:sz w:val="22"/>
          <w:szCs w:val="22"/>
          <w:vertAlign w:val="superscript"/>
          <w:lang w:eastAsia="ja-JP"/>
        </w:rPr>
        <w:t>st</w:t>
      </w:r>
      <w:r>
        <w:rPr>
          <w:rFonts w:eastAsia="Times New Roman" w:cs="Arial"/>
          <w:bCs/>
          <w:i w:val="0"/>
          <w:iCs/>
          <w:sz w:val="22"/>
          <w:szCs w:val="22"/>
          <w:lang w:eastAsia="ja-JP"/>
        </w:rPr>
        <w:t xml:space="preserve"> – March 3</w:t>
      </w:r>
      <w:r>
        <w:rPr>
          <w:rFonts w:eastAsia="Times New Roman" w:cs="Arial"/>
          <w:bCs/>
          <w:i w:val="0"/>
          <w:iCs/>
          <w:sz w:val="22"/>
          <w:szCs w:val="22"/>
          <w:vertAlign w:val="superscript"/>
          <w:lang w:eastAsia="ja-JP"/>
        </w:rPr>
        <w:t>rd</w:t>
      </w:r>
      <w:r>
        <w:rPr>
          <w:rFonts w:eastAsia="Times New Roman" w:cs="Arial"/>
          <w:bCs/>
          <w:i w:val="0"/>
          <w:iCs/>
          <w:sz w:val="22"/>
          <w:szCs w:val="22"/>
          <w:lang w:eastAsia="ja-JP"/>
        </w:rPr>
        <w:t>, 2022</w:t>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UE features for NR coverage enhancement</w:t>
      </w:r>
    </w:p>
    <w:p>
      <w:pPr>
        <w:tabs>
          <w:tab w:val="left" w:pos="1985"/>
        </w:tabs>
        <w:spacing w:after="0"/>
        <w:rPr>
          <w:rFonts w:hint="eastAsia" w:ascii="Arial" w:hAnsi="Arial" w:eastAsia="宋体"/>
          <w:b/>
          <w:lang w:eastAsia="zh-CN"/>
        </w:rPr>
      </w:pPr>
      <w:r>
        <w:rPr>
          <w:rFonts w:ascii="Arial" w:hAnsi="Arial"/>
          <w:b/>
        </w:rPr>
        <w:t>Agenda item:</w:t>
      </w:r>
      <w:r>
        <w:rPr>
          <w:rFonts w:ascii="Arial" w:hAnsi="Arial"/>
          <w:b/>
        </w:rPr>
        <w:tab/>
      </w:r>
      <w:r>
        <w:rPr>
          <w:rFonts w:ascii="Arial" w:hAnsi="Arial"/>
          <w:b/>
        </w:rPr>
        <w:t>8.1</w:t>
      </w:r>
      <w:r>
        <w:rPr>
          <w:rFonts w:hint="eastAsia" w:ascii="Arial" w:hAnsi="Arial"/>
          <w:b/>
          <w:lang w:val="en-US" w:eastAsia="zh-CN"/>
        </w:rPr>
        <w:t>5</w:t>
      </w:r>
      <w:r>
        <w:rPr>
          <w:rFonts w:ascii="Arial" w:hAnsi="Arial"/>
          <w:b/>
        </w:rPr>
        <w:t>.</w:t>
      </w:r>
      <w:r>
        <w:rPr>
          <w:rFonts w:hint="eastAsia" w:ascii="Arial" w:hAnsi="Arial"/>
          <w:b/>
          <w:lang w:val="en-US" w:eastAsia="zh-CN"/>
        </w:rPr>
        <w:t>8</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snapToGrid w:val="0"/>
        <w:spacing w:after="120" w:afterLines="50"/>
        <w:rPr>
          <w:rFonts w:hint="default"/>
          <w:lang w:val="en-US" w:eastAsia="zh-CN"/>
        </w:rPr>
      </w:pPr>
      <w:r>
        <w:rPr>
          <w:rFonts w:hint="eastAsia"/>
          <w:lang w:val="en-US" w:eastAsia="zh-CN"/>
        </w:rPr>
        <w:t>In this contribution, our a</w:t>
      </w:r>
      <w:r>
        <w:rPr>
          <w:lang w:val="en-GB" w:eastAsia="zh-CN"/>
        </w:rPr>
        <w:t xml:space="preserve">nalysis on UE features for </w:t>
      </w:r>
      <w:r>
        <w:rPr>
          <w:rFonts w:hint="eastAsia"/>
          <w:lang w:val="en-US" w:eastAsia="zh-CN"/>
        </w:rPr>
        <w:t>NR coverage enhancement is provided</w:t>
      </w:r>
      <w:r>
        <w:rPr>
          <w:lang w:val="en-GB" w:eastAsia="zh-CN"/>
        </w:rPr>
        <w:t>. The discussion is based on</w:t>
      </w:r>
      <w:r>
        <w:rPr>
          <w:rFonts w:hint="eastAsia"/>
          <w:lang w:val="en-US" w:eastAsia="zh-CN"/>
        </w:rPr>
        <w:t xml:space="preserve"> </w:t>
      </w:r>
      <w:r>
        <w:rPr>
          <w:szCs w:val="22"/>
          <w:lang w:eastAsia="zh-CN"/>
        </w:rPr>
        <w:t xml:space="preserve"> </w:t>
      </w:r>
      <w:r>
        <w:rPr>
          <w:rFonts w:hint="eastAsia"/>
          <w:szCs w:val="22"/>
          <w:lang w:val="en-US" w:eastAsia="zh-CN"/>
        </w:rPr>
        <w:t>the u</w:t>
      </w:r>
      <w:r>
        <w:rPr>
          <w:rFonts w:hint="default"/>
          <w:szCs w:val="22"/>
          <w:lang w:val="en-US" w:eastAsia="zh-CN"/>
        </w:rPr>
        <w:t xml:space="preserve">pdated RAN1 UE features list </w:t>
      </w:r>
      <w:r>
        <w:rPr>
          <w:rFonts w:hint="eastAsia"/>
          <w:lang w:val="en-US" w:eastAsia="zh-CN"/>
        </w:rPr>
        <w:t xml:space="preserve">in </w:t>
      </w:r>
      <w:r>
        <w:rPr>
          <w:lang w:val="en-GB" w:eastAsia="zh-CN"/>
        </w:rPr>
        <w:t>[1]</w:t>
      </w:r>
      <w:r>
        <w:rPr>
          <w:rFonts w:hint="eastAsia"/>
          <w:lang w:val="en-US" w:eastAsia="zh-CN"/>
        </w:rPr>
        <w:t xml:space="preserve">, and the agreements reached in </w:t>
      </w:r>
      <w:r>
        <w:rPr>
          <w:rFonts w:hint="default"/>
          <w:szCs w:val="22"/>
          <w:lang w:val="en-US" w:eastAsia="zh-CN"/>
        </w:rPr>
        <w:t>RAN1 #10</w:t>
      </w:r>
      <w:r>
        <w:rPr>
          <w:rFonts w:hint="eastAsia"/>
          <w:szCs w:val="22"/>
          <w:lang w:val="en-US" w:eastAsia="zh-CN"/>
        </w:rPr>
        <w:t>7bis</w:t>
      </w:r>
      <w:r>
        <w:rPr>
          <w:rFonts w:hint="default"/>
          <w:szCs w:val="22"/>
          <w:lang w:val="en-US" w:eastAsia="zh-CN"/>
        </w:rPr>
        <w:t>-e</w:t>
      </w:r>
      <w:r>
        <w:rPr>
          <w:lang w:val="en-GB" w:eastAsia="zh-CN"/>
        </w:rPr>
        <w:t xml:space="preserve"> </w:t>
      </w:r>
      <w:r>
        <w:rPr>
          <w:rFonts w:hint="eastAsia"/>
          <w:lang w:val="en-US" w:eastAsia="zh-CN"/>
        </w:rPr>
        <w:t xml:space="preserve">according to the discussion summarized in [2]. </w:t>
      </w:r>
    </w:p>
    <w:p>
      <w:pPr>
        <w:spacing w:after="120"/>
        <w:jc w:val="both"/>
        <w:rPr>
          <w:rFonts w:hint="default" w:ascii="Times New Roman" w:hAnsi="Times New Roman" w:eastAsia="游明朝" w:cs="Times New Roman"/>
          <w:b/>
          <w:bCs/>
          <w:sz w:val="20"/>
          <w:szCs w:val="20"/>
          <w:lang w:eastAsia="ja-JP"/>
        </w:rPr>
      </w:pPr>
      <w:r>
        <w:rPr>
          <w:rFonts w:hint="default" w:ascii="Times New Roman" w:hAnsi="Times New Roman" w:eastAsia="游明朝" w:cs="Times New Roman"/>
          <w:b/>
          <w:bCs/>
          <w:sz w:val="20"/>
          <w:szCs w:val="20"/>
          <w:highlight w:val="green"/>
          <w:lang w:eastAsia="ja-JP"/>
        </w:rPr>
        <w:t>Agreement</w:t>
      </w:r>
    </w:p>
    <w:p>
      <w:pPr>
        <w:pStyle w:val="114"/>
        <w:numPr>
          <w:ilvl w:val="0"/>
          <w:numId w:val="9"/>
        </w:numPr>
        <w:spacing w:after="120" w:afterLines="0" w:line="240"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rPr>
        <w:t>Further discuss whether/how to separate/merge FGs 30-1 and 30-1a from following options</w:t>
      </w:r>
    </w:p>
    <w:p>
      <w:pPr>
        <w:pStyle w:val="114"/>
        <w:numPr>
          <w:ilvl w:val="1"/>
          <w:numId w:val="9"/>
        </w:numPr>
        <w:spacing w:after="120" w:afterLines="0" w:line="240" w:lineRule="auto"/>
        <w:ind w:leftChars="0"/>
        <w:jc w:val="both"/>
        <w:rPr>
          <w:rFonts w:hint="default" w:ascii="Times New Roman" w:hAnsi="Times New Roman" w:eastAsia="游明朝" w:cs="Times New Roman"/>
          <w:sz w:val="20"/>
          <w:szCs w:val="20"/>
          <w:lang w:eastAsia="ja-JP"/>
        </w:rPr>
      </w:pPr>
      <w:r>
        <w:rPr>
          <w:rFonts w:hint="default" w:ascii="Times New Roman" w:hAnsi="Times New Roman" w:cs="Times New Roman"/>
          <w:sz w:val="20"/>
          <w:szCs w:val="20"/>
        </w:rPr>
        <w:t>Option 1: Keep current structure, i.e. FG 30-1 for DG, 30-1a for type 1 and 2 CG</w:t>
      </w:r>
    </w:p>
    <w:p>
      <w:pPr>
        <w:pStyle w:val="114"/>
        <w:numPr>
          <w:ilvl w:val="1"/>
          <w:numId w:val="9"/>
        </w:numPr>
        <w:spacing w:after="120" w:afterLines="0" w:line="240" w:lineRule="auto"/>
        <w:ind w:leftChars="0"/>
        <w:jc w:val="both"/>
        <w:rPr>
          <w:rFonts w:hint="default" w:ascii="Times New Roman" w:hAnsi="Times New Roman" w:eastAsia="游明朝" w:cs="Times New Roman"/>
          <w:sz w:val="20"/>
          <w:szCs w:val="20"/>
          <w:lang w:eastAsia="ja-JP"/>
        </w:rPr>
      </w:pPr>
      <w:r>
        <w:rPr>
          <w:rFonts w:hint="default" w:ascii="Times New Roman" w:hAnsi="Times New Roman" w:cs="Times New Roman"/>
          <w:sz w:val="20"/>
          <w:szCs w:val="20"/>
        </w:rPr>
        <w:t>Option 3: Merge FGs 30-1 and 30-1a into an FG</w:t>
      </w:r>
    </w:p>
    <w:p>
      <w:pPr>
        <w:spacing w:after="120"/>
        <w:rPr>
          <w:rFonts w:hint="default" w:ascii="Times New Roman" w:hAnsi="Times New Roman" w:cs="Times New Roman"/>
          <w:sz w:val="20"/>
          <w:szCs w:val="20"/>
          <w:lang w:eastAsia="zh-CN"/>
        </w:rPr>
      </w:pPr>
    </w:p>
    <w:p>
      <w:pPr>
        <w:spacing w:after="120"/>
        <w:jc w:val="both"/>
        <w:rPr>
          <w:rFonts w:hint="default" w:ascii="Times New Roman" w:hAnsi="Times New Roman" w:eastAsia="游明朝" w:cs="Times New Roman"/>
          <w:b/>
          <w:bCs/>
          <w:sz w:val="20"/>
          <w:szCs w:val="20"/>
          <w:lang w:eastAsia="ja-JP"/>
        </w:rPr>
      </w:pPr>
      <w:r>
        <w:rPr>
          <w:rFonts w:hint="default" w:ascii="Times New Roman" w:hAnsi="Times New Roman" w:eastAsia="游明朝" w:cs="Times New Roman"/>
          <w:b/>
          <w:bCs/>
          <w:sz w:val="20"/>
          <w:szCs w:val="20"/>
          <w:highlight w:val="green"/>
          <w:lang w:eastAsia="ja-JP"/>
        </w:rPr>
        <w:t>Agreement</w:t>
      </w:r>
    </w:p>
    <w:p>
      <w:pPr>
        <w:pStyle w:val="114"/>
        <w:numPr>
          <w:ilvl w:val="0"/>
          <w:numId w:val="9"/>
        </w:numPr>
        <w:spacing w:after="120" w:afterLines="0" w:line="240"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rPr>
        <w:t>Further discuss whether/how to separate/merge FGs 30-2 and 30-2a from following options</w:t>
      </w:r>
    </w:p>
    <w:p>
      <w:pPr>
        <w:pStyle w:val="114"/>
        <w:numPr>
          <w:ilvl w:val="1"/>
          <w:numId w:val="9"/>
        </w:numPr>
        <w:spacing w:after="120" w:afterLines="0" w:line="240"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rPr>
        <w:t>Option 1: Keep current structure, i.e., FGs 30-2 for DG, 30-2a for type 1 and 2 CG</w:t>
      </w:r>
    </w:p>
    <w:p>
      <w:pPr>
        <w:pStyle w:val="114"/>
        <w:numPr>
          <w:ilvl w:val="1"/>
          <w:numId w:val="9"/>
        </w:numPr>
        <w:overflowPunct w:val="0"/>
        <w:autoSpaceDE w:val="0"/>
        <w:autoSpaceDN w:val="0"/>
        <w:adjustRightInd w:val="0"/>
        <w:spacing w:after="120" w:afterLines="0" w:line="240" w:lineRule="auto"/>
        <w:ind w:leftChars="0"/>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Option 3: Merge FGs 30-2 and 30-2a into an FG</w:t>
      </w:r>
    </w:p>
    <w:p>
      <w:pPr>
        <w:spacing w:after="120"/>
        <w:rPr>
          <w:rFonts w:hint="default" w:ascii="Times New Roman" w:hAnsi="Times New Roman" w:cs="Times New Roman"/>
          <w:sz w:val="20"/>
          <w:szCs w:val="20"/>
          <w:lang w:eastAsia="zh-CN"/>
        </w:rPr>
      </w:pPr>
    </w:p>
    <w:p>
      <w:pPr>
        <w:spacing w:after="120"/>
        <w:jc w:val="both"/>
        <w:rPr>
          <w:rFonts w:hint="default" w:ascii="Times New Roman" w:hAnsi="Times New Roman" w:cs="Times New Roman"/>
          <w:b/>
          <w:bCs/>
          <w:sz w:val="20"/>
          <w:szCs w:val="20"/>
        </w:rPr>
      </w:pPr>
      <w:r>
        <w:rPr>
          <w:rFonts w:hint="default" w:ascii="Times New Roman" w:hAnsi="Times New Roman" w:cs="Times New Roman"/>
          <w:b/>
          <w:bCs/>
          <w:sz w:val="20"/>
          <w:szCs w:val="20"/>
          <w:highlight w:val="green"/>
        </w:rPr>
        <w:t>Agreement</w:t>
      </w:r>
    </w:p>
    <w:p>
      <w:pPr>
        <w:pStyle w:val="114"/>
        <w:numPr>
          <w:ilvl w:val="0"/>
          <w:numId w:val="9"/>
        </w:numPr>
        <w:spacing w:after="120" w:afterLines="0" w:line="240"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rPr>
        <w:t>Further discuss whether/how to separate FG 30-3 from following options</w:t>
      </w:r>
    </w:p>
    <w:p>
      <w:pPr>
        <w:pStyle w:val="114"/>
        <w:numPr>
          <w:ilvl w:val="1"/>
          <w:numId w:val="9"/>
        </w:numPr>
        <w:spacing w:after="120" w:afterLines="0" w:line="240" w:lineRule="auto"/>
        <w:ind w:leftChars="0"/>
        <w:rPr>
          <w:rFonts w:hint="default" w:ascii="Times New Roman" w:hAnsi="Times New Roman" w:cs="Times New Roman"/>
          <w:sz w:val="20"/>
          <w:szCs w:val="20"/>
        </w:rPr>
      </w:pPr>
      <w:r>
        <w:rPr>
          <w:rFonts w:hint="default" w:ascii="Times New Roman" w:hAnsi="Times New Roman" w:cs="Times New Roman"/>
          <w:sz w:val="20"/>
          <w:szCs w:val="20"/>
        </w:rPr>
        <w:t>Option 1: Keep current structure</w:t>
      </w:r>
    </w:p>
    <w:p>
      <w:pPr>
        <w:pStyle w:val="114"/>
        <w:numPr>
          <w:ilvl w:val="1"/>
          <w:numId w:val="9"/>
        </w:numPr>
        <w:overflowPunct w:val="0"/>
        <w:autoSpaceDE w:val="0"/>
        <w:autoSpaceDN w:val="0"/>
        <w:adjustRightInd w:val="0"/>
        <w:spacing w:after="120" w:afterLines="0" w:line="240" w:lineRule="auto"/>
        <w:ind w:leftChars="0"/>
        <w:textAlignment w:val="baseline"/>
        <w:rPr>
          <w:rFonts w:hint="default" w:ascii="Times New Roman" w:hAnsi="Times New Roman" w:cs="Times New Roman"/>
          <w:sz w:val="20"/>
          <w:szCs w:val="20"/>
        </w:rPr>
      </w:pPr>
      <w:r>
        <w:rPr>
          <w:rFonts w:hint="default" w:ascii="Times New Roman" w:hAnsi="Times New Roman" w:cs="Times New Roman"/>
          <w:sz w:val="20"/>
          <w:szCs w:val="20"/>
        </w:rPr>
        <w:t>Option 3: Split 30-3 into 2 separate FGs: 1st one for DG, 2nd one for CG</w:t>
      </w:r>
    </w:p>
    <w:p>
      <w:pPr>
        <w:spacing w:after="120"/>
        <w:rPr>
          <w:rFonts w:hint="default" w:ascii="Times New Roman" w:hAnsi="Times New Roman" w:cs="Times New Roman"/>
          <w:sz w:val="20"/>
          <w:szCs w:val="20"/>
          <w:lang w:eastAsia="zh-CN"/>
        </w:rPr>
      </w:pPr>
    </w:p>
    <w:p>
      <w:pPr>
        <w:spacing w:after="120"/>
        <w:jc w:val="both"/>
        <w:rPr>
          <w:rFonts w:hint="default" w:ascii="Times New Roman" w:hAnsi="Times New Roman" w:cs="Times New Roman"/>
          <w:b/>
          <w:bCs/>
          <w:sz w:val="20"/>
          <w:szCs w:val="20"/>
        </w:rPr>
      </w:pPr>
      <w:r>
        <w:rPr>
          <w:rFonts w:hint="default" w:ascii="Times New Roman" w:hAnsi="Times New Roman" w:cs="Times New Roman"/>
          <w:b/>
          <w:bCs/>
          <w:sz w:val="20"/>
          <w:szCs w:val="20"/>
          <w:highlight w:val="green"/>
        </w:rPr>
        <w:t>Agreement</w:t>
      </w:r>
    </w:p>
    <w:p>
      <w:pPr>
        <w:numPr>
          <w:ilvl w:val="0"/>
          <w:numId w:val="10"/>
        </w:numPr>
        <w:spacing w:after="120" w:afterLines="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rPr>
        <w:t>FG 30-3 and FG30-3a are not merged</w:t>
      </w:r>
    </w:p>
    <w:p>
      <w:pPr>
        <w:spacing w:after="120"/>
        <w:rPr>
          <w:rFonts w:hint="default" w:ascii="Times New Roman" w:hAnsi="Times New Roman" w:cs="Times New Roman"/>
          <w:sz w:val="20"/>
          <w:szCs w:val="20"/>
          <w:lang w:eastAsia="zh-CN"/>
        </w:rPr>
      </w:pPr>
    </w:p>
    <w:p>
      <w:pPr>
        <w:spacing w:after="120"/>
        <w:jc w:val="both"/>
        <w:rPr>
          <w:rFonts w:hint="default" w:ascii="Times New Roman" w:hAnsi="Times New Roman" w:cs="Times New Roman"/>
          <w:b/>
          <w:bCs/>
          <w:sz w:val="20"/>
          <w:szCs w:val="20"/>
        </w:rPr>
      </w:pPr>
      <w:r>
        <w:rPr>
          <w:rFonts w:hint="default" w:ascii="Times New Roman" w:hAnsi="Times New Roman" w:cs="Times New Roman"/>
          <w:b/>
          <w:bCs/>
          <w:sz w:val="20"/>
          <w:szCs w:val="20"/>
          <w:highlight w:val="green"/>
        </w:rPr>
        <w:t>Agreement</w:t>
      </w:r>
    </w:p>
    <w:p>
      <w:pPr>
        <w:pStyle w:val="114"/>
        <w:numPr>
          <w:ilvl w:val="0"/>
          <w:numId w:val="9"/>
        </w:numPr>
        <w:spacing w:after="120" w:afterLines="0"/>
        <w:ind w:leftChars="0"/>
        <w:jc w:val="both"/>
        <w:rPr>
          <w:rFonts w:hint="default" w:ascii="Times New Roman" w:hAnsi="Times New Roman" w:eastAsia="游明朝" w:cs="Times New Roman"/>
          <w:color w:val="000000"/>
          <w:sz w:val="20"/>
          <w:szCs w:val="20"/>
          <w:lang w:eastAsia="ja-JP"/>
        </w:rPr>
      </w:pPr>
      <w:r>
        <w:rPr>
          <w:rFonts w:hint="default" w:ascii="Times New Roman" w:hAnsi="Times New Roman" w:cs="Times New Roman"/>
          <w:sz w:val="20"/>
          <w:szCs w:val="20"/>
        </w:rPr>
        <w:t>FG 30-4x are split to back-to-back transmission and non-back-to-back transmission</w:t>
      </w:r>
    </w:p>
    <w:p>
      <w:pPr>
        <w:pStyle w:val="114"/>
        <w:numPr>
          <w:ilvl w:val="1"/>
          <w:numId w:val="9"/>
        </w:numPr>
        <w:spacing w:after="120" w:afterLines="0"/>
        <w:ind w:leftChars="0"/>
        <w:jc w:val="both"/>
        <w:rPr>
          <w:rFonts w:hint="default" w:ascii="Times New Roman" w:hAnsi="Times New Roman" w:eastAsia="游明朝" w:cs="Times New Roman"/>
          <w:color w:val="000000"/>
          <w:sz w:val="20"/>
          <w:szCs w:val="20"/>
          <w:lang w:eastAsia="ja-JP"/>
        </w:rPr>
      </w:pPr>
      <w:r>
        <w:rPr>
          <w:rFonts w:hint="default" w:ascii="Times New Roman" w:hAnsi="Times New Roman" w:eastAsia="游明朝" w:cs="Times New Roman"/>
          <w:sz w:val="20"/>
          <w:szCs w:val="20"/>
          <w:lang w:eastAsia="ja-JP"/>
        </w:rPr>
        <w:t>FFS</w:t>
      </w:r>
      <w:r>
        <w:rPr>
          <w:rFonts w:hint="default" w:ascii="Times New Roman" w:hAnsi="Times New Roman" w:cs="Times New Roman"/>
          <w:sz w:val="20"/>
          <w:szCs w:val="20"/>
        </w:rPr>
        <w:t xml:space="preserve"> whether to introduce as many FG as FG30-4x</w:t>
      </w:r>
      <w:r>
        <w:rPr>
          <w:rFonts w:hint="default" w:ascii="Times New Roman" w:hAnsi="Times New Roman" w:eastAsia="游明朝" w:cs="Times New Roman"/>
          <w:sz w:val="20"/>
          <w:szCs w:val="20"/>
          <w:lang w:eastAsia="ja-JP"/>
        </w:rPr>
        <w:t xml:space="preserve"> or </w:t>
      </w:r>
      <w:r>
        <w:rPr>
          <w:rFonts w:hint="default" w:ascii="Times New Roman" w:hAnsi="Times New Roman" w:cs="Times New Roman"/>
          <w:sz w:val="20"/>
          <w:szCs w:val="20"/>
        </w:rPr>
        <w:t>one FG for all FG30-4x</w:t>
      </w:r>
      <w:r>
        <w:rPr>
          <w:rFonts w:hint="default" w:ascii="Times New Roman" w:hAnsi="Times New Roman" w:eastAsia="游明朝" w:cs="Times New Roman"/>
          <w:sz w:val="20"/>
          <w:szCs w:val="20"/>
          <w:lang w:eastAsia="ja-JP"/>
        </w:rPr>
        <w:t xml:space="preserve"> for non-back-to-back transmission</w:t>
      </w:r>
    </w:p>
    <w:p>
      <w:pPr>
        <w:spacing w:after="120"/>
        <w:rPr>
          <w:rFonts w:hint="default" w:ascii="Times New Roman" w:hAnsi="Times New Roman" w:cs="Times New Roman"/>
          <w:sz w:val="20"/>
          <w:szCs w:val="20"/>
          <w:lang w:eastAsia="zh-CN"/>
        </w:rPr>
      </w:pPr>
    </w:p>
    <w:p>
      <w:pPr>
        <w:spacing w:after="120"/>
        <w:jc w:val="both"/>
        <w:rPr>
          <w:rFonts w:hint="default" w:ascii="Times New Roman" w:hAnsi="Times New Roman" w:cs="Times New Roman"/>
          <w:b/>
          <w:bCs/>
          <w:sz w:val="20"/>
          <w:szCs w:val="20"/>
        </w:rPr>
      </w:pPr>
      <w:r>
        <w:rPr>
          <w:rFonts w:hint="default" w:ascii="Times New Roman" w:hAnsi="Times New Roman" w:cs="Times New Roman"/>
          <w:b/>
          <w:bCs/>
          <w:sz w:val="20"/>
          <w:szCs w:val="20"/>
          <w:highlight w:val="green"/>
        </w:rPr>
        <w:t>Agreement</w:t>
      </w:r>
    </w:p>
    <w:p>
      <w:pPr>
        <w:pStyle w:val="114"/>
        <w:numPr>
          <w:ilvl w:val="0"/>
          <w:numId w:val="9"/>
        </w:numPr>
        <w:spacing w:after="120" w:afterLines="0"/>
        <w:ind w:leftChars="0"/>
        <w:jc w:val="both"/>
        <w:rPr>
          <w:rFonts w:hint="default" w:ascii="Times New Roman" w:hAnsi="Times New Roman" w:cs="Times New Roman"/>
          <w:sz w:val="20"/>
          <w:szCs w:val="20"/>
        </w:rPr>
      </w:pPr>
      <w:r>
        <w:rPr>
          <w:rFonts w:hint="default" w:ascii="Times New Roman" w:hAnsi="Times New Roman" w:cs="Times New Roman"/>
          <w:sz w:val="20"/>
          <w:szCs w:val="20"/>
        </w:rPr>
        <w:t>FG for intra-slot frequency hopping and inter-slot frequency hopping for TBoMS is not introduced</w:t>
      </w:r>
    </w:p>
    <w:p>
      <w:pPr>
        <w:spacing w:after="120"/>
        <w:rPr>
          <w:rFonts w:hint="default" w:ascii="Times New Roman" w:hAnsi="Times New Roman" w:cs="Times New Roman"/>
          <w:sz w:val="20"/>
          <w:szCs w:val="20"/>
          <w:lang w:eastAsia="zh-CN"/>
        </w:rPr>
      </w:pPr>
    </w:p>
    <w:p>
      <w:pPr>
        <w:spacing w:after="120"/>
        <w:jc w:val="both"/>
        <w:rPr>
          <w:rFonts w:hint="default" w:ascii="Times New Roman" w:hAnsi="Times New Roman" w:cs="Times New Roman"/>
          <w:b/>
          <w:bCs/>
          <w:sz w:val="20"/>
          <w:szCs w:val="20"/>
        </w:rPr>
      </w:pPr>
      <w:r>
        <w:rPr>
          <w:rFonts w:hint="default" w:ascii="Times New Roman" w:hAnsi="Times New Roman" w:cs="Times New Roman"/>
          <w:b/>
          <w:bCs/>
          <w:sz w:val="20"/>
          <w:szCs w:val="20"/>
          <w:highlight w:val="green"/>
        </w:rPr>
        <w:t>Agreement</w:t>
      </w:r>
    </w:p>
    <w:p>
      <w:pPr>
        <w:numPr>
          <w:ilvl w:val="0"/>
          <w:numId w:val="9"/>
        </w:numPr>
        <w:spacing w:after="120" w:afterLines="0"/>
        <w:rPr>
          <w:rFonts w:hint="default" w:ascii="Times New Roman" w:hAnsi="Times New Roman" w:cs="Times New Roman"/>
          <w:sz w:val="20"/>
          <w:szCs w:val="20"/>
        </w:rPr>
      </w:pPr>
      <w:r>
        <w:rPr>
          <w:rFonts w:hint="default" w:ascii="Times New Roman" w:hAnsi="Times New Roman" w:cs="Times New Roman"/>
          <w:sz w:val="20"/>
          <w:szCs w:val="20"/>
        </w:rPr>
        <w:t>Introduce one FG for all FG30-4x for non-back-to-back transmission as follows</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2"/>
        <w:gridCol w:w="460"/>
        <w:gridCol w:w="1141"/>
        <w:gridCol w:w="1263"/>
        <w:gridCol w:w="460"/>
        <w:gridCol w:w="501"/>
        <w:gridCol w:w="531"/>
        <w:gridCol w:w="1141"/>
        <w:gridCol w:w="521"/>
        <w:gridCol w:w="521"/>
        <w:gridCol w:w="441"/>
        <w:gridCol w:w="532"/>
        <w:gridCol w:w="222"/>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2"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120"/>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lang w:eastAsia="ja-JP"/>
              </w:rPr>
              <w:t>30.</w:t>
            </w:r>
            <w:r>
              <w:rPr>
                <w:rFonts w:hint="default" w:ascii="Times New Roman" w:hAnsi="Times New Roman" w:eastAsia="ＭＳ 明朝" w:cs="Times New Roman"/>
                <w:sz w:val="20"/>
                <w:szCs w:val="20"/>
              </w:rPr>
              <w:t xml:space="preserve"> </w:t>
            </w:r>
            <w:r>
              <w:rPr>
                <w:rFonts w:hint="default" w:ascii="Times New Roman" w:hAnsi="Times New Roman" w:eastAsia="ＭＳ 明朝" w:cs="Times New Roman"/>
                <w:sz w:val="20"/>
                <w:szCs w:val="20"/>
                <w:lang w:eastAsia="ja-JP"/>
              </w:rPr>
              <w:t>NR_cov_enh</w:t>
            </w:r>
          </w:p>
        </w:tc>
        <w:tc>
          <w:tcPr>
            <w:tcW w:w="19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120"/>
              <w:rPr>
                <w:rFonts w:hint="default" w:ascii="Times New Roman" w:hAnsi="Times New Roman" w:eastAsia="ＭＳ 明朝" w:cs="Times New Roman"/>
                <w:sz w:val="20"/>
                <w:szCs w:val="20"/>
                <w:lang w:eastAsia="zh-CN"/>
              </w:rPr>
            </w:pPr>
            <w:r>
              <w:rPr>
                <w:rFonts w:hint="default" w:ascii="Times New Roman" w:hAnsi="Times New Roman" w:eastAsia="ＭＳ 明朝" w:cs="Times New Roman"/>
                <w:sz w:val="20"/>
                <w:szCs w:val="20"/>
                <w:lang w:eastAsia="ja-JP"/>
              </w:rPr>
              <w:t>30-4</w:t>
            </w:r>
            <w:r>
              <w:rPr>
                <w:rFonts w:hint="default" w:ascii="Times New Roman" w:hAnsi="Times New Roman" w:eastAsia="ＭＳ 明朝" w:cs="Times New Roman"/>
                <w:color w:val="FF0000"/>
                <w:sz w:val="20"/>
                <w:szCs w:val="20"/>
                <w:lang w:eastAsia="ja-JP"/>
              </w:rPr>
              <w:t>h</w:t>
            </w:r>
          </w:p>
        </w:tc>
        <w:tc>
          <w:tcPr>
            <w:tcW w:w="45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12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DM-RS bundling for non-back-to-back transmission</w:t>
            </w:r>
          </w:p>
        </w:tc>
        <w:tc>
          <w:tcPr>
            <w:tcW w:w="1312" w:type="pct"/>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120"/>
              <w:contextualSpacing/>
              <w:jc w:val="both"/>
              <w:rPr>
                <w:rFonts w:hint="default" w:ascii="Times New Roman" w:hAnsi="Times New Roman" w:cs="Times New Roman"/>
                <w:sz w:val="20"/>
                <w:szCs w:val="20"/>
              </w:rPr>
            </w:pPr>
            <w:r>
              <w:rPr>
                <w:rFonts w:hint="default" w:ascii="Times New Roman" w:hAnsi="Times New Roman" w:eastAsia="ＭＳ 明朝" w:cs="Times New Roman"/>
                <w:sz w:val="20"/>
                <w:szCs w:val="20"/>
                <w:lang w:eastAsia="zh-CN"/>
              </w:rPr>
              <w:t xml:space="preserve">Support DM-RS bundling for </w:t>
            </w:r>
            <w:r>
              <w:rPr>
                <w:rFonts w:hint="default" w:ascii="Times New Roman" w:hAnsi="Times New Roman" w:eastAsia="ＭＳ 明朝" w:cs="Times New Roman"/>
                <w:sz w:val="20"/>
                <w:szCs w:val="20"/>
                <w:highlight w:val="yellow"/>
                <w:lang w:eastAsia="zh-CN"/>
              </w:rPr>
              <w:t>non-back-to-back transmission for consecutive slots</w:t>
            </w:r>
            <w:r>
              <w:rPr>
                <w:rFonts w:hint="default" w:ascii="Times New Roman" w:hAnsi="Times New Roman" w:eastAsia="ＭＳ 明朝" w:cs="Times New Roman"/>
                <w:sz w:val="20"/>
                <w:szCs w:val="20"/>
                <w:lang w:eastAsia="zh-CN"/>
              </w:rPr>
              <w:t xml:space="preserve"> for PUSCH and PUCCH only for </w:t>
            </w:r>
            <w:r>
              <w:rPr>
                <w:rFonts w:hint="default" w:ascii="Times New Roman" w:hAnsi="Times New Roman" w:eastAsia="ＭＳ 明朝" w:cs="Times New Roman"/>
                <w:sz w:val="20"/>
                <w:szCs w:val="20"/>
                <w:highlight w:val="yellow"/>
                <w:lang w:eastAsia="zh-CN"/>
              </w:rPr>
              <w:t>corresponding supported back-to-back transmission FGs (30-4a, 30-4b, 30-4c, or 30-4d)</w:t>
            </w:r>
          </w:p>
        </w:tc>
        <w:tc>
          <w:tcPr>
            <w:tcW w:w="198"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after="120"/>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lang w:eastAsia="zh-CN"/>
              </w:rPr>
              <w:t>30-4a, 30-4b, 30-4c, or 30-4d</w:t>
            </w:r>
          </w:p>
        </w:tc>
        <w:tc>
          <w:tcPr>
            <w:tcW w:w="21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120"/>
              <w:rPr>
                <w:rFonts w:hint="default" w:ascii="Times New Roman" w:hAnsi="Times New Roman" w:eastAsia="ＭＳ 明朝" w:cs="Times New Roman"/>
                <w:sz w:val="20"/>
                <w:szCs w:val="20"/>
                <w:lang w:eastAsia="ja-JP"/>
              </w:rPr>
            </w:pPr>
            <w:r>
              <w:rPr>
                <w:rFonts w:hint="default" w:ascii="Times New Roman" w:hAnsi="Times New Roman" w:eastAsia="宋体" w:cs="Times New Roman"/>
                <w:sz w:val="20"/>
                <w:szCs w:val="20"/>
                <w:lang w:eastAsia="zh-CN"/>
              </w:rPr>
              <w:t>Yes</w:t>
            </w:r>
          </w:p>
        </w:tc>
        <w:tc>
          <w:tcPr>
            <w:tcW w:w="212"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120"/>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lang w:eastAsia="zh-CN"/>
              </w:rPr>
              <w:t>N/A</w:t>
            </w:r>
          </w:p>
        </w:tc>
        <w:tc>
          <w:tcPr>
            <w:tcW w:w="45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120"/>
              <w:rPr>
                <w:rFonts w:hint="default" w:ascii="Times New Roman" w:hAnsi="Times New Roman" w:eastAsia="ＭＳ 明朝" w:cs="Times New Roman"/>
                <w:sz w:val="20"/>
                <w:szCs w:val="20"/>
                <w:lang w:eastAsia="ja-JP"/>
              </w:rPr>
            </w:pPr>
            <w:r>
              <w:rPr>
                <w:rFonts w:hint="default" w:ascii="Times New Roman" w:hAnsi="Times New Roman" w:eastAsia="宋体" w:cs="Times New Roman"/>
                <w:sz w:val="20"/>
                <w:szCs w:val="20"/>
                <w:lang w:eastAsia="zh-CN"/>
              </w:rPr>
              <w:t xml:space="preserve">UE does not </w:t>
            </w:r>
            <w:r>
              <w:rPr>
                <w:rFonts w:hint="default" w:ascii="Times New Roman" w:hAnsi="Times New Roman" w:eastAsia="ＭＳ 明朝" w:cs="Times New Roman"/>
                <w:sz w:val="20"/>
                <w:szCs w:val="20"/>
                <w:lang w:eastAsia="zh-CN"/>
              </w:rPr>
              <w:t>Support DM-RS bundling for non-back-to-back transmission</w:t>
            </w:r>
          </w:p>
        </w:tc>
        <w:tc>
          <w:tcPr>
            <w:tcW w:w="222"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after="120"/>
              <w:rPr>
                <w:rFonts w:hint="default" w:ascii="Times New Roman" w:hAnsi="Times New Roman" w:eastAsia="ＭＳ 明朝" w:cs="Times New Roman"/>
                <w:sz w:val="20"/>
                <w:szCs w:val="20"/>
                <w:lang w:eastAsia="ja-JP"/>
              </w:rPr>
            </w:pPr>
            <w:r>
              <w:rPr>
                <w:rFonts w:hint="default" w:ascii="Times New Roman" w:hAnsi="Times New Roman" w:eastAsia="宋体" w:cs="Times New Roman"/>
                <w:sz w:val="20"/>
                <w:szCs w:val="20"/>
                <w:lang w:eastAsia="zh-CN"/>
              </w:rPr>
              <w:t>[Per UE]</w:t>
            </w:r>
          </w:p>
        </w:tc>
        <w:tc>
          <w:tcPr>
            <w:tcW w:w="225"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after="120"/>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lang w:eastAsia="zh-CN"/>
              </w:rPr>
              <w:t>FFS</w:t>
            </w:r>
          </w:p>
        </w:tc>
        <w:tc>
          <w:tcPr>
            <w:tcW w:w="188"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after="120"/>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lang w:eastAsia="zh-CN"/>
              </w:rPr>
              <w:t>No</w:t>
            </w:r>
          </w:p>
        </w:tc>
        <w:tc>
          <w:tcPr>
            <w:tcW w:w="212"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after="120"/>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lang w:eastAsia="zh-CN"/>
              </w:rPr>
              <w:t>N/A</w:t>
            </w:r>
          </w:p>
        </w:tc>
        <w:tc>
          <w:tcPr>
            <w:tcW w:w="292"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120"/>
              <w:rPr>
                <w:rFonts w:hint="default" w:ascii="Times New Roman" w:hAnsi="Times New Roman" w:eastAsia="ＭＳ 明朝" w:cs="Times New Roman"/>
                <w:sz w:val="20"/>
                <w:szCs w:val="20"/>
              </w:rPr>
            </w:pPr>
          </w:p>
        </w:tc>
        <w:tc>
          <w:tcPr>
            <w:tcW w:w="362"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120"/>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lang w:eastAsia="ja-JP"/>
              </w:rPr>
              <w:t>Optional with capability signalling</w:t>
            </w:r>
          </w:p>
        </w:tc>
      </w:tr>
    </w:tbl>
    <w:p>
      <w:pPr>
        <w:spacing w:after="120"/>
        <w:rPr>
          <w:rFonts w:hint="default" w:ascii="Times New Roman" w:hAnsi="Times New Roman" w:eastAsia="Malgun Gothic" w:cs="Times New Roman"/>
          <w:color w:val="000000"/>
          <w:sz w:val="20"/>
          <w:szCs w:val="20"/>
          <w:lang w:eastAsia="ko-KR"/>
        </w:rPr>
      </w:pPr>
    </w:p>
    <w:p>
      <w:pPr>
        <w:spacing w:after="120"/>
        <w:jc w:val="both"/>
        <w:rPr>
          <w:rFonts w:hint="default" w:ascii="Times New Roman" w:hAnsi="Times New Roman" w:cs="Times New Roman"/>
          <w:b/>
          <w:bCs/>
          <w:sz w:val="20"/>
          <w:szCs w:val="20"/>
        </w:rPr>
      </w:pPr>
      <w:r>
        <w:rPr>
          <w:rFonts w:hint="default" w:ascii="Times New Roman" w:hAnsi="Times New Roman" w:cs="Times New Roman"/>
          <w:b/>
          <w:bCs/>
          <w:sz w:val="20"/>
          <w:szCs w:val="20"/>
          <w:highlight w:val="green"/>
        </w:rPr>
        <w:t>Agreement</w:t>
      </w:r>
    </w:p>
    <w:p>
      <w:pPr>
        <w:numPr>
          <w:ilvl w:val="0"/>
          <w:numId w:val="9"/>
        </w:numPr>
        <w:spacing w:after="120" w:afterLines="0"/>
        <w:jc w:val="both"/>
        <w:rPr>
          <w:rFonts w:hint="default" w:ascii="Times New Roman" w:hAnsi="Times New Roman" w:cs="Times New Roman"/>
          <w:sz w:val="20"/>
          <w:szCs w:val="20"/>
        </w:rPr>
      </w:pPr>
      <w:r>
        <w:rPr>
          <w:rFonts w:hint="default" w:ascii="Times New Roman" w:hAnsi="Times New Roman" w:cs="Times New Roman"/>
          <w:sz w:val="20"/>
          <w:szCs w:val="20"/>
        </w:rPr>
        <w:t>FGs 30-4 to 30-4d are not merged</w:t>
      </w:r>
    </w:p>
    <w:p>
      <w:pPr>
        <w:numPr>
          <w:ilvl w:val="1"/>
          <w:numId w:val="9"/>
        </w:numPr>
        <w:overflowPunct w:val="0"/>
        <w:autoSpaceDE w:val="0"/>
        <w:autoSpaceDN w:val="0"/>
        <w:adjustRightInd w:val="0"/>
        <w:spacing w:after="120" w:afterLines="0"/>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FFS: whether to Add a note in FG 30-4c: “Note: If a UE reports support of FG [30-4a], 30-4c, [30-3] and/or 30-3a, the UE supports DMRS bundling for the repetitions of TBoMS”</w:t>
      </w:r>
    </w:p>
    <w:p>
      <w:pPr>
        <w:spacing w:after="120"/>
        <w:rPr>
          <w:rFonts w:hint="default" w:ascii="Times New Roman" w:hAnsi="Times New Roman" w:eastAsia="Malgun Gothic" w:cs="Times New Roman"/>
          <w:color w:val="000000"/>
          <w:sz w:val="20"/>
          <w:szCs w:val="20"/>
          <w:lang w:eastAsia="ko-KR"/>
        </w:rPr>
      </w:pPr>
    </w:p>
    <w:p>
      <w:pPr>
        <w:spacing w:after="120"/>
        <w:jc w:val="both"/>
        <w:rPr>
          <w:rFonts w:hint="default" w:ascii="Times New Roman" w:hAnsi="Times New Roman" w:cs="Times New Roman"/>
          <w:b/>
          <w:bCs/>
          <w:sz w:val="20"/>
          <w:szCs w:val="20"/>
        </w:rPr>
      </w:pPr>
      <w:r>
        <w:rPr>
          <w:rFonts w:hint="default" w:ascii="Times New Roman" w:hAnsi="Times New Roman" w:cs="Times New Roman"/>
          <w:b/>
          <w:bCs/>
          <w:sz w:val="20"/>
          <w:szCs w:val="20"/>
          <w:highlight w:val="green"/>
        </w:rPr>
        <w:t>Agreement</w:t>
      </w:r>
    </w:p>
    <w:p>
      <w:pPr>
        <w:numPr>
          <w:ilvl w:val="0"/>
          <w:numId w:val="9"/>
        </w:numPr>
        <w:spacing w:after="120" w:afterLines="0"/>
        <w:jc w:val="both"/>
        <w:rPr>
          <w:rFonts w:hint="default" w:ascii="Times New Roman" w:hAnsi="Times New Roman" w:cs="Times New Roman"/>
          <w:sz w:val="20"/>
          <w:szCs w:val="20"/>
        </w:rPr>
      </w:pPr>
      <w:r>
        <w:rPr>
          <w:rFonts w:hint="default" w:ascii="Times New Roman" w:hAnsi="Times New Roman" w:cs="Times New Roman"/>
          <w:sz w:val="20"/>
          <w:szCs w:val="20"/>
        </w:rPr>
        <w:t>FGs 30-4e and 30-4f are not merged</w:t>
      </w:r>
    </w:p>
    <w:p>
      <w:pPr>
        <w:spacing w:after="120"/>
        <w:rPr>
          <w:rFonts w:hint="default" w:ascii="Times New Roman" w:hAnsi="Times New Roman" w:cs="Times New Roman"/>
          <w:sz w:val="20"/>
          <w:szCs w:val="20"/>
          <w:lang w:eastAsia="zh-CN"/>
        </w:rPr>
      </w:pPr>
    </w:p>
    <w:p>
      <w:pPr>
        <w:spacing w:after="0" w:afterLines="0" w:line="252" w:lineRule="auto"/>
        <w:jc w:val="both"/>
        <w:rPr>
          <w:rFonts w:hint="default" w:ascii="Times New Roman" w:hAnsi="Times New Roman" w:cs="Times New Roman"/>
          <w:b/>
          <w:bCs/>
          <w:sz w:val="20"/>
          <w:szCs w:val="20"/>
          <w:u w:val="single"/>
        </w:rPr>
      </w:pPr>
      <w:r>
        <w:rPr>
          <w:rFonts w:hint="default" w:ascii="Times New Roman" w:hAnsi="Times New Roman" w:cs="Times New Roman"/>
          <w:b/>
          <w:bCs/>
          <w:sz w:val="20"/>
          <w:szCs w:val="20"/>
          <w:highlight w:val="green"/>
          <w:u w:val="single"/>
        </w:rPr>
        <w:t>Agreement</w:t>
      </w:r>
    </w:p>
    <w:p>
      <w:pPr>
        <w:numPr>
          <w:ilvl w:val="0"/>
          <w:numId w:val="11"/>
        </w:numPr>
        <w:spacing w:after="0" w:afterLines="0" w:line="252" w:lineRule="auto"/>
        <w:rPr>
          <w:lang w:val="en-GB" w:eastAsia="zh-CN"/>
        </w:rPr>
      </w:pPr>
      <w:r>
        <w:rPr>
          <w:rFonts w:hint="default" w:ascii="Times New Roman" w:hAnsi="Times New Roman" w:cs="Times New Roman"/>
          <w:sz w:val="20"/>
          <w:szCs w:val="20"/>
        </w:rPr>
        <w:t>Component of FG 30-4d is updated as “Support DM-RS bundling for PUCCH repetitions</w:t>
      </w:r>
      <w:r>
        <w:rPr>
          <w:rFonts w:hint="default" w:ascii="Times New Roman" w:hAnsi="Times New Roman" w:cs="Times New Roman"/>
          <w:color w:val="FF0000"/>
          <w:sz w:val="20"/>
          <w:szCs w:val="20"/>
        </w:rPr>
        <w:t xml:space="preserve"> for PUCCH formats 1/3/4</w:t>
      </w:r>
      <w:r>
        <w:rPr>
          <w:rFonts w:hint="default" w:ascii="Times New Roman" w:hAnsi="Times New Roman" w:cs="Times New Roman"/>
          <w:sz w:val="20"/>
          <w:szCs w:val="20"/>
        </w:rPr>
        <w:t>”</w:t>
      </w:r>
    </w:p>
    <w:p>
      <w:pPr>
        <w:pStyle w:val="2"/>
        <w:rPr>
          <w:lang w:eastAsia="zh-CN"/>
        </w:rPr>
      </w:pPr>
      <w:r>
        <w:rPr>
          <w:lang w:eastAsia="zh-CN"/>
        </w:rPr>
        <w:t>Discussion</w:t>
      </w:r>
      <w:r>
        <w:rPr>
          <w:rFonts w:hint="eastAsia"/>
          <w:lang w:val="en-US" w:eastAsia="zh-CN"/>
        </w:rPr>
        <w:t xml:space="preserve"> </w:t>
      </w:r>
    </w:p>
    <w:p>
      <w:pPr>
        <w:pStyle w:val="3"/>
        <w:rPr>
          <w:rFonts w:hint="eastAsia"/>
          <w:lang w:val="en-US" w:eastAsia="zh-CN"/>
        </w:rPr>
      </w:pPr>
      <w:r>
        <w:rPr>
          <w:rFonts w:hint="eastAsia"/>
          <w:lang w:val="en-US" w:eastAsia="zh-CN"/>
        </w:rPr>
        <w:t>W</w:t>
      </w:r>
      <w:r>
        <w:rPr>
          <w:rFonts w:hint="default"/>
          <w:lang w:val="en-US" w:eastAsia="zh-CN"/>
        </w:rPr>
        <w:t>hether/how to separate/merge</w:t>
      </w:r>
      <w:r>
        <w:rPr>
          <w:rFonts w:hint="eastAsia"/>
          <w:lang w:val="en-US" w:eastAsia="zh-CN"/>
        </w:rPr>
        <w:t xml:space="preserve"> FGs related to DG and CG</w:t>
      </w:r>
    </w:p>
    <w:p>
      <w:pPr>
        <w:snapToGrid w:val="0"/>
        <w:spacing w:after="120" w:afterLines="50"/>
        <w:jc w:val="left"/>
        <w:rPr>
          <w:rFonts w:hint="default" w:eastAsia="宋体"/>
          <w:b w:val="0"/>
          <w:bCs/>
          <w:i w:val="0"/>
          <w:iCs/>
          <w:lang w:val="en-US" w:eastAsia="zh-CN"/>
        </w:rPr>
      </w:pPr>
      <w:r>
        <w:rPr>
          <w:rFonts w:hint="eastAsia"/>
          <w:b w:val="0"/>
          <w:bCs/>
          <w:i w:val="0"/>
          <w:iCs/>
          <w:lang w:val="en-US" w:eastAsia="zh-CN"/>
        </w:rPr>
        <w:t xml:space="preserve">For UE feature groups FG 30-1 and 30-1a, </w:t>
      </w:r>
      <w:r>
        <w:rPr>
          <w:rFonts w:hint="default" w:ascii="Times New Roman" w:hAnsi="Times New Roman" w:cs="Times New Roman"/>
          <w:sz w:val="20"/>
          <w:szCs w:val="20"/>
        </w:rPr>
        <w:t xml:space="preserve">whether/how to separate/merge </w:t>
      </w:r>
      <w:r>
        <w:rPr>
          <w:rFonts w:hint="eastAsia" w:cs="Times New Roman"/>
          <w:sz w:val="20"/>
          <w:szCs w:val="20"/>
          <w:lang w:val="en-US" w:eastAsia="zh-CN"/>
        </w:rPr>
        <w:t xml:space="preserve">the two FGs were discussed with the following two options on the table.  </w:t>
      </w:r>
    </w:p>
    <w:p>
      <w:pPr>
        <w:pStyle w:val="114"/>
        <w:numPr>
          <w:ilvl w:val="1"/>
          <w:numId w:val="9"/>
        </w:numPr>
        <w:spacing w:after="120" w:afterLines="0" w:line="240" w:lineRule="auto"/>
        <w:ind w:leftChars="0"/>
        <w:jc w:val="both"/>
        <w:rPr>
          <w:rFonts w:hint="default" w:ascii="Times New Roman" w:hAnsi="Times New Roman" w:eastAsia="游明朝" w:cs="Times New Roman"/>
          <w:sz w:val="20"/>
          <w:szCs w:val="20"/>
          <w:lang w:eastAsia="ja-JP"/>
        </w:rPr>
      </w:pPr>
      <w:r>
        <w:rPr>
          <w:rFonts w:hint="default" w:ascii="Times New Roman" w:hAnsi="Times New Roman" w:cs="Times New Roman"/>
          <w:sz w:val="20"/>
          <w:szCs w:val="20"/>
        </w:rPr>
        <w:t>Option 1: Keep current structure, i.e. FG 30-1 for DG, 30-1a for type 1 and 2 CG</w:t>
      </w:r>
    </w:p>
    <w:p>
      <w:pPr>
        <w:pStyle w:val="114"/>
        <w:numPr>
          <w:ilvl w:val="1"/>
          <w:numId w:val="9"/>
        </w:numPr>
        <w:spacing w:after="120" w:afterLines="0" w:line="240" w:lineRule="auto"/>
        <w:ind w:leftChars="0"/>
        <w:jc w:val="both"/>
        <w:rPr>
          <w:rFonts w:hint="default" w:ascii="Times New Roman" w:hAnsi="Times New Roman" w:eastAsia="游明朝" w:cs="Times New Roman"/>
          <w:sz w:val="20"/>
          <w:szCs w:val="20"/>
          <w:lang w:eastAsia="ja-JP"/>
        </w:rPr>
      </w:pPr>
      <w:r>
        <w:rPr>
          <w:rFonts w:hint="default" w:ascii="Times New Roman" w:hAnsi="Times New Roman" w:cs="Times New Roman"/>
          <w:sz w:val="20"/>
          <w:szCs w:val="20"/>
        </w:rPr>
        <w:t>Option 3: Merge FGs 30-1 and 30-1a into an FG</w:t>
      </w:r>
    </w:p>
    <w:p>
      <w:pPr>
        <w:snapToGrid w:val="0"/>
        <w:spacing w:after="120" w:afterLines="50"/>
        <w:jc w:val="left"/>
        <w:rPr>
          <w:rFonts w:hint="eastAsia"/>
          <w:b w:val="0"/>
          <w:bCs/>
          <w:i w:val="0"/>
          <w:iCs/>
          <w:lang w:val="en-US" w:eastAsia="zh-CN"/>
        </w:rPr>
      </w:pPr>
      <w:r>
        <w:rPr>
          <w:rFonts w:hint="eastAsia"/>
          <w:b w:val="0"/>
          <w:bCs/>
          <w:i w:val="0"/>
          <w:iCs/>
          <w:lang w:val="en-US" w:eastAsia="zh-CN"/>
        </w:rPr>
        <w:t xml:space="preserve">In our view, there is no need two separate UE FGs as there is no complexity difference to support increased maximum number of repetitions between DG and CG PUSCH. </w:t>
      </w:r>
    </w:p>
    <w:p>
      <w:pPr>
        <w:numPr>
          <w:ilvl w:val="0"/>
          <w:numId w:val="12"/>
        </w:numPr>
        <w:snapToGrid w:val="0"/>
        <w:spacing w:after="120" w:afterLines="50"/>
        <w:ind w:left="840" w:leftChars="0" w:hanging="420" w:firstLineChars="0"/>
        <w:jc w:val="left"/>
        <w:rPr>
          <w:rFonts w:hint="eastAsia"/>
          <w:b w:val="0"/>
          <w:bCs/>
          <w:i w:val="0"/>
          <w:iCs/>
          <w:u w:val="none"/>
          <w:lang w:val="en-US" w:eastAsia="zh-CN"/>
        </w:rPr>
      </w:pPr>
      <w:r>
        <w:rPr>
          <w:rFonts w:hint="eastAsia"/>
          <w:b w:val="0"/>
          <w:bCs/>
          <w:i w:val="0"/>
          <w:iCs/>
          <w:u w:val="none"/>
          <w:lang w:val="en-US" w:eastAsia="zh-CN"/>
        </w:rPr>
        <w:t xml:space="preserve">For DG PUSCH repetition, a UE can support determination of increased maximum number of repetition either dynamically (if included in the TDRA table) or semi-statically (otherwise). Thus, it a UE can support increased maximum repetition number for DG, it would be also able to support for CG including both type 1 and type 2. </w:t>
      </w:r>
    </w:p>
    <w:p>
      <w:pPr>
        <w:numPr>
          <w:ilvl w:val="0"/>
          <w:numId w:val="12"/>
        </w:numPr>
        <w:snapToGrid w:val="0"/>
        <w:spacing w:after="120" w:afterLines="50"/>
        <w:ind w:left="840" w:leftChars="0" w:hanging="420" w:firstLineChars="0"/>
        <w:jc w:val="left"/>
        <w:rPr>
          <w:rFonts w:hint="eastAsia"/>
          <w:b w:val="0"/>
          <w:bCs/>
          <w:i w:val="0"/>
          <w:iCs/>
          <w:lang w:val="en-GB" w:eastAsia="zh-CN"/>
        </w:rPr>
      </w:pPr>
      <w:r>
        <w:rPr>
          <w:rFonts w:hint="eastAsia"/>
          <w:b w:val="0"/>
          <w:bCs/>
          <w:i w:val="0"/>
          <w:iCs/>
          <w:lang w:val="en-US" w:eastAsia="zh-CN"/>
        </w:rPr>
        <w:t xml:space="preserve">This is similar as Rel-16 URLLC FG 11-5/11-6, where only one FG is introduced for dynamic PUSCH repetition indication for both DG and CG PUSCH. </w:t>
      </w:r>
    </w:p>
    <w:p>
      <w:pPr>
        <w:snapToGrid w:val="0"/>
        <w:spacing w:after="120" w:afterLines="50"/>
        <w:jc w:val="left"/>
        <w:rPr>
          <w:rFonts w:hint="default"/>
          <w:b w:val="0"/>
          <w:bCs/>
          <w:i w:val="0"/>
          <w:iCs/>
          <w:lang w:val="en-US" w:eastAsia="zh-CN"/>
        </w:rPr>
      </w:pPr>
      <w:r>
        <w:rPr>
          <w:rFonts w:hint="eastAsia"/>
          <w:b w:val="0"/>
          <w:bCs/>
          <w:i w:val="0"/>
          <w:iCs/>
          <w:lang w:val="en-US" w:eastAsia="zh-CN"/>
        </w:rPr>
        <w:t xml:space="preserve">Based on above, we propose to merge FG 30-1 and FG 30-1a. There </w:t>
      </w:r>
    </w:p>
    <w:p>
      <w:pPr>
        <w:snapToGrid w:val="0"/>
        <w:spacing w:after="120" w:afterLines="50"/>
        <w:jc w:val="left"/>
        <w:rPr>
          <w:rFonts w:hint="eastAsia"/>
          <w:b w:val="0"/>
          <w:bCs/>
          <w:i w:val="0"/>
          <w:iCs/>
          <w:lang w:val="en-US" w:eastAsia="zh-CN"/>
        </w:rPr>
      </w:pPr>
      <w:r>
        <w:rPr>
          <w:rFonts w:hint="eastAsia"/>
          <w:b w:val="0"/>
          <w:bCs/>
          <w:i w:val="0"/>
          <w:iCs/>
          <w:lang w:val="en-US" w:eastAsia="zh-CN"/>
        </w:rPr>
        <w:t>Regarding the interpretation of the prerequisite FGs (i.e., FG 5-14, 5-16, 5-17), our understanding is a UE doesn</w:t>
      </w:r>
      <w:r>
        <w:rPr>
          <w:rFonts w:hint="default"/>
          <w:b w:val="0"/>
          <w:bCs/>
          <w:i w:val="0"/>
          <w:iCs/>
          <w:lang w:val="en-US" w:eastAsia="zh-CN"/>
        </w:rPr>
        <w:t>’</w:t>
      </w:r>
      <w:r>
        <w:rPr>
          <w:rFonts w:hint="eastAsia"/>
          <w:b w:val="0"/>
          <w:bCs/>
          <w:i w:val="0"/>
          <w:iCs/>
          <w:lang w:val="en-US" w:eastAsia="zh-CN"/>
        </w:rPr>
        <w:t xml:space="preserve">t need to report all the prerequisite FGs to support the merged FG. In other words, if a UE only support FG 5-17 (i.e., DG PUSCH aggregation) and reports the merged FG, it means the UE can only support increased maximum number of repetition for DG PUSCH. Using merged FG could save signaling overhead. The potential IODT issue is a UE may support at least two prerequisite FGs (e.g., DG and type 2 CG), while the UE may only want to support the new feature for DG PUSCH. However, it is not a typical case in our view. </w:t>
      </w:r>
    </w:p>
    <w:p>
      <w:pPr>
        <w:snapToGrid w:val="0"/>
        <w:spacing w:after="120" w:afterLines="50"/>
        <w:jc w:val="left"/>
        <w:rPr>
          <w:rFonts w:hint="default"/>
          <w:b w:val="0"/>
          <w:bCs/>
          <w:i w:val="0"/>
          <w:iCs/>
          <w:lang w:val="en-US" w:eastAsia="zh-CN"/>
        </w:rPr>
      </w:pPr>
      <w:r>
        <w:rPr>
          <w:rFonts w:hint="eastAsia"/>
          <w:b w:val="0"/>
          <w:bCs/>
          <w:i w:val="0"/>
          <w:iCs/>
          <w:lang w:val="en-US" w:eastAsia="zh-CN"/>
        </w:rPr>
        <w:t xml:space="preserve">It was discussed to compromise to merge the FGs with per band reporting. However, it would cause more unnecessary signaling overhead without solving the IODT issue. Therefore, even a compromise is to be made, it should be still be based on per UE reporting.  </w:t>
      </w:r>
    </w:p>
    <w:p>
      <w:pPr>
        <w:snapToGrid w:val="0"/>
        <w:spacing w:after="120" w:afterLines="50"/>
        <w:jc w:val="left"/>
        <w:rPr>
          <w:rFonts w:hint="eastAsia"/>
          <w:b w:val="0"/>
          <w:bCs/>
          <w:i/>
          <w:iCs w:val="0"/>
          <w:lang w:val="en-US" w:eastAsia="zh-CN"/>
        </w:rPr>
      </w:pPr>
      <w:r>
        <w:rPr>
          <w:rFonts w:hint="eastAsia"/>
          <w:b/>
          <w:i/>
          <w:lang w:val="en-GB" w:eastAsia="zh-CN"/>
        </w:rPr>
        <w:t xml:space="preserve">Proposal 1: </w:t>
      </w:r>
      <w:r>
        <w:rPr>
          <w:rFonts w:hint="eastAsia"/>
          <w:b w:val="0"/>
          <w:bCs/>
          <w:i/>
          <w:iCs w:val="0"/>
          <w:lang w:val="en-US" w:eastAsia="zh-CN"/>
        </w:rPr>
        <w:t xml:space="preserve">Merge FG 30-1 and FG 30-1a </w:t>
      </w:r>
      <w:r>
        <w:rPr>
          <w:rFonts w:hint="default" w:ascii="Times New Roman" w:hAnsi="Times New Roman" w:cs="Times New Roman"/>
          <w:i/>
          <w:iCs w:val="0"/>
          <w:sz w:val="20"/>
          <w:szCs w:val="20"/>
        </w:rPr>
        <w:t>into an FG</w:t>
      </w:r>
      <w:r>
        <w:rPr>
          <w:rFonts w:hint="eastAsia"/>
          <w:b w:val="0"/>
          <w:bCs/>
          <w:i/>
          <w:iCs w:val="0"/>
          <w:lang w:val="en-US" w:eastAsia="zh-CN"/>
        </w:rPr>
        <w:t xml:space="preserve">, i.e., Option 3 is adopted. </w:t>
      </w:r>
    </w:p>
    <w:p>
      <w:pPr>
        <w:numPr>
          <w:ilvl w:val="0"/>
          <w:numId w:val="12"/>
        </w:numPr>
        <w:snapToGrid w:val="0"/>
        <w:spacing w:after="120" w:afterLines="50"/>
        <w:ind w:left="840" w:leftChars="0" w:hanging="420" w:firstLineChars="0"/>
        <w:jc w:val="left"/>
        <w:rPr>
          <w:b/>
          <w:i/>
          <w:iCs w:val="0"/>
          <w:lang w:eastAsia="zh-CN"/>
        </w:rPr>
      </w:pPr>
      <w:r>
        <w:rPr>
          <w:rFonts w:hint="eastAsia"/>
          <w:b w:val="0"/>
          <w:bCs/>
          <w:i/>
          <w:iCs w:val="0"/>
          <w:lang w:val="en-US" w:eastAsia="zh-CN"/>
        </w:rPr>
        <w:t xml:space="preserve">Per UE reporting is supported. </w:t>
      </w:r>
    </w:p>
    <w:p>
      <w:pPr>
        <w:numPr>
          <w:numId w:val="0"/>
        </w:numPr>
        <w:overflowPunct w:val="0"/>
        <w:autoSpaceDE w:val="0"/>
        <w:autoSpaceDN w:val="0"/>
        <w:adjustRightInd w:val="0"/>
        <w:snapToGrid w:val="0"/>
        <w:spacing w:after="120" w:afterLines="50"/>
        <w:jc w:val="left"/>
        <w:textAlignment w:val="baseline"/>
        <w:rPr>
          <w:b/>
          <w:lang w:eastAsia="zh-CN"/>
        </w:rPr>
      </w:pPr>
    </w:p>
    <w:p>
      <w:pPr>
        <w:numPr>
          <w:numId w:val="0"/>
        </w:numPr>
        <w:snapToGrid w:val="0"/>
        <w:spacing w:after="120" w:afterLines="50"/>
        <w:jc w:val="left"/>
        <w:rPr>
          <w:rFonts w:hint="default"/>
          <w:b w:val="0"/>
          <w:bCs/>
          <w:lang w:val="en-US" w:eastAsia="zh-CN"/>
        </w:rPr>
      </w:pPr>
      <w:r>
        <w:rPr>
          <w:rFonts w:hint="eastAsia"/>
          <w:b w:val="0"/>
          <w:bCs/>
          <w:lang w:val="en-US" w:eastAsia="zh-CN"/>
        </w:rPr>
        <w:t xml:space="preserve">Similarly, we have the following proposals for other related FGs.  </w:t>
      </w:r>
    </w:p>
    <w:p>
      <w:pPr>
        <w:snapToGrid w:val="0"/>
        <w:spacing w:after="120" w:afterLines="50"/>
        <w:jc w:val="left"/>
        <w:rPr>
          <w:rFonts w:hint="eastAsia"/>
          <w:b w:val="0"/>
          <w:bCs/>
          <w:i/>
          <w:iCs w:val="0"/>
          <w:lang w:val="en-US" w:eastAsia="zh-CN"/>
        </w:rPr>
      </w:pPr>
      <w:r>
        <w:rPr>
          <w:rFonts w:hint="eastAsia"/>
          <w:b/>
          <w:i/>
          <w:iCs w:val="0"/>
          <w:lang w:val="en-GB" w:eastAsia="zh-CN"/>
        </w:rPr>
        <w:t xml:space="preserve">Proposal </w:t>
      </w:r>
      <w:r>
        <w:rPr>
          <w:rFonts w:hint="eastAsia"/>
          <w:b/>
          <w:i/>
          <w:iCs w:val="0"/>
          <w:lang w:val="en-US" w:eastAsia="zh-CN"/>
        </w:rPr>
        <w:t>2</w:t>
      </w:r>
      <w:r>
        <w:rPr>
          <w:rFonts w:hint="eastAsia"/>
          <w:b/>
          <w:i/>
          <w:iCs w:val="0"/>
          <w:lang w:val="en-GB" w:eastAsia="zh-CN"/>
        </w:rPr>
        <w:t xml:space="preserve">: </w:t>
      </w:r>
      <w:r>
        <w:rPr>
          <w:rFonts w:hint="default" w:ascii="Times New Roman" w:hAnsi="Times New Roman" w:cs="Times New Roman"/>
          <w:i/>
          <w:iCs w:val="0"/>
          <w:sz w:val="20"/>
          <w:szCs w:val="20"/>
        </w:rPr>
        <w:t>Merge FGs 30-2 and 30-2a into an FG</w:t>
      </w:r>
      <w:r>
        <w:rPr>
          <w:rFonts w:hint="eastAsia"/>
          <w:b w:val="0"/>
          <w:bCs/>
          <w:i/>
          <w:iCs w:val="0"/>
          <w:lang w:val="en-US" w:eastAsia="zh-CN"/>
        </w:rPr>
        <w:t xml:space="preserve">, i.e., Option 3 is adopted. </w:t>
      </w:r>
    </w:p>
    <w:p>
      <w:pPr>
        <w:numPr>
          <w:ilvl w:val="0"/>
          <w:numId w:val="12"/>
        </w:numPr>
        <w:snapToGrid w:val="0"/>
        <w:spacing w:after="120" w:afterLines="50"/>
        <w:ind w:left="840" w:leftChars="0" w:hanging="420" w:firstLineChars="0"/>
        <w:jc w:val="left"/>
        <w:rPr>
          <w:rFonts w:hint="default" w:ascii="Times New Roman" w:hAnsi="Times New Roman" w:cs="Times New Roman"/>
          <w:sz w:val="20"/>
          <w:szCs w:val="20"/>
          <w:lang w:eastAsia="zh-CN"/>
        </w:rPr>
      </w:pPr>
      <w:r>
        <w:rPr>
          <w:rFonts w:hint="eastAsia"/>
          <w:b w:val="0"/>
          <w:bCs/>
          <w:i/>
          <w:iCs w:val="0"/>
          <w:lang w:val="en-US" w:eastAsia="zh-CN"/>
        </w:rPr>
        <w:t xml:space="preserve">Per UE reporting is supported. </w:t>
      </w:r>
    </w:p>
    <w:p>
      <w:pPr>
        <w:pStyle w:val="114"/>
        <w:numPr>
          <w:ilvl w:val="0"/>
          <w:numId w:val="0"/>
        </w:numPr>
        <w:spacing w:after="120" w:afterLines="0" w:line="240" w:lineRule="auto"/>
        <w:rPr>
          <w:rFonts w:hint="eastAsia"/>
          <w:b w:val="0"/>
          <w:bCs/>
          <w:i/>
          <w:iCs w:val="0"/>
          <w:lang w:val="en-US" w:eastAsia="zh-CN"/>
        </w:rPr>
      </w:pPr>
      <w:r>
        <w:rPr>
          <w:rFonts w:hint="eastAsia"/>
          <w:b/>
          <w:i/>
          <w:iCs w:val="0"/>
          <w:lang w:val="en-GB" w:eastAsia="zh-CN"/>
        </w:rPr>
        <w:t xml:space="preserve">Proposal </w:t>
      </w:r>
      <w:r>
        <w:rPr>
          <w:rFonts w:hint="eastAsia"/>
          <w:b/>
          <w:i/>
          <w:iCs w:val="0"/>
          <w:lang w:val="en-US" w:eastAsia="zh-CN"/>
        </w:rPr>
        <w:t>3</w:t>
      </w:r>
      <w:r>
        <w:rPr>
          <w:rFonts w:hint="eastAsia"/>
          <w:b/>
          <w:i/>
          <w:iCs w:val="0"/>
          <w:lang w:val="en-GB" w:eastAsia="zh-CN"/>
        </w:rPr>
        <w:t xml:space="preserve">: </w:t>
      </w:r>
      <w:r>
        <w:rPr>
          <w:rFonts w:hint="default" w:ascii="Times New Roman" w:hAnsi="Times New Roman" w:cs="Times New Roman"/>
          <w:i/>
          <w:iCs w:val="0"/>
          <w:sz w:val="20"/>
          <w:szCs w:val="20"/>
        </w:rPr>
        <w:t>Keep current structure</w:t>
      </w:r>
      <w:r>
        <w:rPr>
          <w:rFonts w:hint="eastAsia" w:eastAsia="宋体" w:cs="Times New Roman"/>
          <w:i/>
          <w:iCs w:val="0"/>
          <w:sz w:val="20"/>
          <w:szCs w:val="20"/>
          <w:lang w:val="en-US" w:eastAsia="zh-CN"/>
        </w:rPr>
        <w:t xml:space="preserve"> for </w:t>
      </w:r>
      <w:r>
        <w:rPr>
          <w:rFonts w:hint="default" w:ascii="Times New Roman" w:hAnsi="Times New Roman" w:cs="Times New Roman"/>
          <w:i/>
          <w:iCs w:val="0"/>
          <w:sz w:val="20"/>
          <w:szCs w:val="20"/>
        </w:rPr>
        <w:t>FG 30-3</w:t>
      </w:r>
      <w:r>
        <w:rPr>
          <w:rFonts w:hint="eastAsia" w:eastAsia="宋体" w:cs="Times New Roman"/>
          <w:i/>
          <w:iCs w:val="0"/>
          <w:sz w:val="20"/>
          <w:szCs w:val="20"/>
          <w:lang w:val="en-US" w:eastAsia="zh-CN"/>
        </w:rPr>
        <w:t xml:space="preserve">, </w:t>
      </w:r>
      <w:r>
        <w:rPr>
          <w:rFonts w:hint="eastAsia"/>
          <w:b w:val="0"/>
          <w:bCs/>
          <w:i/>
          <w:iCs w:val="0"/>
          <w:lang w:val="en-US" w:eastAsia="zh-CN"/>
        </w:rPr>
        <w:t xml:space="preserve">i.e., Option 1 is adopted. </w:t>
      </w:r>
    </w:p>
    <w:p>
      <w:pPr>
        <w:numPr>
          <w:ilvl w:val="0"/>
          <w:numId w:val="12"/>
        </w:numPr>
        <w:snapToGrid w:val="0"/>
        <w:spacing w:after="120" w:afterLines="50"/>
        <w:ind w:left="840" w:leftChars="0" w:hanging="420" w:firstLineChars="0"/>
        <w:jc w:val="left"/>
        <w:rPr>
          <w:b/>
          <w:lang w:eastAsia="zh-CN"/>
        </w:rPr>
      </w:pPr>
      <w:r>
        <w:rPr>
          <w:rFonts w:hint="eastAsia"/>
          <w:b w:val="0"/>
          <w:bCs/>
          <w:i/>
          <w:iCs w:val="0"/>
          <w:lang w:val="en-US" w:eastAsia="zh-CN"/>
        </w:rPr>
        <w:t xml:space="preserve">Per UE reporting is supported. </w:t>
      </w:r>
    </w:p>
    <w:p>
      <w:pPr>
        <w:numPr>
          <w:numId w:val="0"/>
        </w:numPr>
        <w:snapToGrid w:val="0"/>
        <w:spacing w:after="120" w:afterLines="50"/>
        <w:jc w:val="left"/>
        <w:rPr>
          <w:b/>
          <w:lang w:eastAsia="zh-CN"/>
        </w:rPr>
      </w:pPr>
    </w:p>
    <w:p>
      <w:pPr>
        <w:pStyle w:val="3"/>
        <w:rPr>
          <w:rFonts w:hint="eastAsia" w:ascii="Arial" w:hAnsi="Arial"/>
          <w:lang w:val="en-US" w:eastAsia="zh-CN"/>
        </w:rPr>
      </w:pPr>
      <w:r>
        <w:rPr>
          <w:rFonts w:hint="eastAsia" w:ascii="Arial" w:hAnsi="Arial"/>
          <w:lang w:val="en-US" w:eastAsia="zh-CN"/>
        </w:rPr>
        <w:t>DM-RS bundling among PUSCH/PUCCH transmissions</w:t>
      </w:r>
    </w:p>
    <w:p>
      <w:pPr>
        <w:pStyle w:val="87"/>
        <w:numPr>
          <w:ilvl w:val="0"/>
          <w:numId w:val="0"/>
        </w:numPr>
        <w:rPr>
          <w:rFonts w:hint="default" w:eastAsia="宋体"/>
          <w:lang w:val="en-US" w:eastAsia="zh-CN"/>
        </w:rPr>
      </w:pPr>
      <w:r>
        <w:rPr>
          <w:rFonts w:hint="eastAsia"/>
          <w:lang w:val="en-US" w:eastAsia="zh-CN"/>
        </w:rPr>
        <w:t xml:space="preserve">Regarding DMRS bundling among PUSCH/PUCCH transmissions, one FFS point is about introducing how many FGs for </w:t>
      </w:r>
      <w:r>
        <w:rPr>
          <w:rFonts w:eastAsia="游明朝"/>
          <w:sz w:val="20"/>
          <w:szCs w:val="21"/>
          <w:lang w:eastAsia="ja-JP"/>
        </w:rPr>
        <w:t>non-back-to-back transmission</w:t>
      </w:r>
      <w:r>
        <w:rPr>
          <w:rFonts w:hint="eastAsia" w:eastAsia="宋体"/>
          <w:sz w:val="20"/>
          <w:szCs w:val="21"/>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4" w:type="dxa"/>
          </w:tcPr>
          <w:p>
            <w:pPr>
              <w:spacing w:after="120"/>
              <w:jc w:val="both"/>
              <w:rPr>
                <w:b/>
                <w:bCs/>
                <w:sz w:val="20"/>
                <w:szCs w:val="21"/>
              </w:rPr>
            </w:pPr>
            <w:r>
              <w:rPr>
                <w:b/>
                <w:bCs/>
                <w:sz w:val="20"/>
                <w:szCs w:val="21"/>
                <w:highlight w:val="green"/>
              </w:rPr>
              <w:t>Agreement</w:t>
            </w:r>
          </w:p>
          <w:p>
            <w:pPr>
              <w:pStyle w:val="114"/>
              <w:numPr>
                <w:ilvl w:val="0"/>
                <w:numId w:val="9"/>
              </w:numPr>
              <w:spacing w:after="120" w:afterLines="0"/>
              <w:ind w:leftChars="0"/>
              <w:jc w:val="both"/>
              <w:rPr>
                <w:rFonts w:eastAsia="游明朝"/>
                <w:color w:val="000000"/>
                <w:sz w:val="20"/>
                <w:szCs w:val="21"/>
                <w:lang w:eastAsia="ja-JP"/>
              </w:rPr>
            </w:pPr>
            <w:r>
              <w:rPr>
                <w:sz w:val="20"/>
                <w:szCs w:val="21"/>
              </w:rPr>
              <w:t>FG 30-4x are split to back-to-back transmission and non-back-to-back transmission</w:t>
            </w:r>
          </w:p>
          <w:p>
            <w:pPr>
              <w:pStyle w:val="114"/>
              <w:numPr>
                <w:ilvl w:val="1"/>
                <w:numId w:val="9"/>
              </w:numPr>
              <w:spacing w:after="120" w:afterLines="0"/>
              <w:ind w:leftChars="0"/>
              <w:jc w:val="both"/>
              <w:rPr>
                <w:rFonts w:eastAsia="游明朝"/>
                <w:color w:val="000000"/>
                <w:sz w:val="20"/>
                <w:szCs w:val="21"/>
                <w:lang w:eastAsia="ja-JP"/>
              </w:rPr>
            </w:pPr>
            <w:r>
              <w:rPr>
                <w:rFonts w:hint="eastAsia" w:eastAsia="游明朝"/>
                <w:sz w:val="20"/>
                <w:szCs w:val="21"/>
                <w:lang w:eastAsia="ja-JP"/>
              </w:rPr>
              <w:t>F</w:t>
            </w:r>
            <w:r>
              <w:rPr>
                <w:rFonts w:eastAsia="游明朝"/>
                <w:sz w:val="20"/>
                <w:szCs w:val="21"/>
                <w:lang w:eastAsia="ja-JP"/>
              </w:rPr>
              <w:t>FS</w:t>
            </w:r>
            <w:r>
              <w:rPr>
                <w:sz w:val="20"/>
                <w:szCs w:val="20"/>
              </w:rPr>
              <w:t xml:space="preserve"> whether to introduce a</w:t>
            </w:r>
            <w:r>
              <w:rPr>
                <w:sz w:val="20"/>
                <w:szCs w:val="21"/>
              </w:rPr>
              <w:t>s many FG as FG30-4x</w:t>
            </w:r>
            <w:r>
              <w:rPr>
                <w:rFonts w:eastAsia="游明朝"/>
                <w:sz w:val="20"/>
                <w:szCs w:val="21"/>
                <w:lang w:eastAsia="ja-JP"/>
              </w:rPr>
              <w:t xml:space="preserve"> or </w:t>
            </w:r>
            <w:r>
              <w:rPr>
                <w:sz w:val="20"/>
                <w:szCs w:val="21"/>
              </w:rPr>
              <w:t>one FG for all FG30-4x</w:t>
            </w:r>
            <w:r>
              <w:rPr>
                <w:rFonts w:eastAsia="游明朝"/>
                <w:sz w:val="20"/>
                <w:szCs w:val="21"/>
                <w:lang w:eastAsia="ja-JP"/>
              </w:rPr>
              <w:t xml:space="preserve"> for non-back-to-back transmission</w:t>
            </w:r>
          </w:p>
          <w:p>
            <w:pPr>
              <w:spacing w:after="120"/>
              <w:jc w:val="both"/>
              <w:rPr>
                <w:b/>
                <w:bCs/>
                <w:sz w:val="20"/>
                <w:szCs w:val="21"/>
              </w:rPr>
            </w:pPr>
            <w:r>
              <w:rPr>
                <w:b/>
                <w:bCs/>
                <w:sz w:val="20"/>
                <w:szCs w:val="21"/>
                <w:highlight w:val="green"/>
              </w:rPr>
              <w:t>Agreement</w:t>
            </w:r>
          </w:p>
          <w:p>
            <w:pPr>
              <w:numPr>
                <w:ilvl w:val="0"/>
                <w:numId w:val="9"/>
              </w:numPr>
              <w:spacing w:after="120" w:afterLines="0"/>
              <w:jc w:val="both"/>
              <w:rPr>
                <w:sz w:val="20"/>
                <w:szCs w:val="21"/>
              </w:rPr>
            </w:pPr>
            <w:r>
              <w:rPr>
                <w:sz w:val="20"/>
                <w:szCs w:val="21"/>
              </w:rPr>
              <w:t>FGs 30-4 to 30-4d are not merged</w:t>
            </w:r>
          </w:p>
          <w:p>
            <w:pPr>
              <w:numPr>
                <w:ilvl w:val="1"/>
                <w:numId w:val="9"/>
              </w:numPr>
              <w:overflowPunct w:val="0"/>
              <w:autoSpaceDE w:val="0"/>
              <w:autoSpaceDN w:val="0"/>
              <w:adjustRightInd w:val="0"/>
              <w:spacing w:after="120" w:afterLines="0"/>
              <w:jc w:val="both"/>
              <w:textAlignment w:val="baseline"/>
              <w:rPr>
                <w:rFonts w:hint="eastAsia"/>
                <w:vertAlign w:val="baseline"/>
                <w:lang w:val="en-US" w:eastAsia="zh-CN"/>
              </w:rPr>
            </w:pPr>
            <w:r>
              <w:rPr>
                <w:sz w:val="20"/>
                <w:szCs w:val="21"/>
              </w:rPr>
              <w:t>FFS: whether to Add a note in FG 30-4c: “Note: If a UE reports support of FG [30-4a], 30-4c, [30-3] and/or 30-3a, the UE supports DMRS bundling for the repetitions of TBoMS”</w:t>
            </w:r>
          </w:p>
        </w:tc>
      </w:tr>
    </w:tbl>
    <w:p>
      <w:pPr>
        <w:pStyle w:val="87"/>
        <w:numPr>
          <w:ilvl w:val="0"/>
          <w:numId w:val="0"/>
        </w:numPr>
        <w:rPr>
          <w:rFonts w:hint="eastAsia"/>
          <w:lang w:val="en-US" w:eastAsia="zh-CN"/>
        </w:rPr>
      </w:pPr>
    </w:p>
    <w:p>
      <w:pPr>
        <w:pStyle w:val="114"/>
        <w:numPr>
          <w:numId w:val="0"/>
        </w:numPr>
        <w:spacing w:after="120" w:afterLines="0"/>
        <w:jc w:val="both"/>
        <w:rPr>
          <w:rFonts w:hint="default" w:eastAsia="宋体"/>
          <w:color w:val="000000"/>
          <w:sz w:val="20"/>
          <w:szCs w:val="21"/>
          <w:lang w:val="en-US" w:eastAsia="zh-CN"/>
        </w:rPr>
      </w:pPr>
      <w:r>
        <w:rPr>
          <w:rFonts w:hint="eastAsia"/>
          <w:lang w:val="en-US" w:eastAsia="zh-CN"/>
        </w:rPr>
        <w:t xml:space="preserve">In our view, </w:t>
      </w:r>
      <w:r>
        <w:rPr>
          <w:rFonts w:hint="eastAsia" w:eastAsia="宋体"/>
          <w:sz w:val="20"/>
          <w:szCs w:val="21"/>
          <w:lang w:val="en-US" w:eastAsia="zh-CN"/>
        </w:rPr>
        <w:t xml:space="preserve">one FG is sufficient and the related </w:t>
      </w:r>
      <w:r>
        <w:rPr>
          <w:sz w:val="20"/>
          <w:szCs w:val="21"/>
        </w:rPr>
        <w:t>FG30-4x</w:t>
      </w:r>
      <w:r>
        <w:rPr>
          <w:rFonts w:hint="eastAsia" w:eastAsia="宋体"/>
          <w:sz w:val="20"/>
          <w:szCs w:val="21"/>
          <w:lang w:val="en-US" w:eastAsia="zh-CN"/>
        </w:rPr>
        <w:t xml:space="preserve"> can be added as the prerequisite FGs. Thus, we have the following proposal. </w:t>
      </w:r>
    </w:p>
    <w:p>
      <w:pPr>
        <w:pStyle w:val="114"/>
        <w:numPr>
          <w:numId w:val="0"/>
        </w:numPr>
        <w:spacing w:after="120" w:afterLines="0"/>
        <w:jc w:val="both"/>
        <w:rPr>
          <w:rFonts w:hint="eastAsia" w:eastAsia="宋体"/>
          <w:b/>
          <w:lang w:val="en-US" w:eastAsia="zh-CN"/>
        </w:rPr>
      </w:pPr>
      <w:r>
        <w:rPr>
          <w:rFonts w:hint="eastAsia"/>
          <w:b/>
          <w:i/>
          <w:iCs w:val="0"/>
          <w:lang w:val="en-GB" w:eastAsia="zh-CN"/>
        </w:rPr>
        <w:t xml:space="preserve">Proposal </w:t>
      </w:r>
      <w:r>
        <w:rPr>
          <w:rFonts w:hint="eastAsia"/>
          <w:b/>
          <w:i/>
          <w:iCs w:val="0"/>
          <w:lang w:val="en-US" w:eastAsia="zh-CN"/>
        </w:rPr>
        <w:t>4</w:t>
      </w:r>
      <w:r>
        <w:rPr>
          <w:rFonts w:hint="eastAsia"/>
          <w:b/>
          <w:i/>
          <w:iCs w:val="0"/>
          <w:lang w:val="en-GB" w:eastAsia="zh-CN"/>
        </w:rPr>
        <w:t xml:space="preserve">: </w:t>
      </w:r>
      <w:r>
        <w:rPr>
          <w:rFonts w:hint="eastAsia" w:eastAsia="宋体"/>
          <w:i/>
          <w:iCs w:val="0"/>
          <w:sz w:val="20"/>
          <w:szCs w:val="20"/>
          <w:lang w:val="en-US" w:eastAsia="zh-CN"/>
        </w:rPr>
        <w:t>I</w:t>
      </w:r>
      <w:r>
        <w:rPr>
          <w:i/>
          <w:iCs w:val="0"/>
          <w:sz w:val="20"/>
          <w:szCs w:val="20"/>
        </w:rPr>
        <w:t xml:space="preserve">ntroduce </w:t>
      </w:r>
      <w:r>
        <w:rPr>
          <w:i/>
          <w:iCs w:val="0"/>
          <w:sz w:val="20"/>
          <w:szCs w:val="21"/>
        </w:rPr>
        <w:t>one FG for all FG30-4x</w:t>
      </w:r>
      <w:r>
        <w:rPr>
          <w:rFonts w:eastAsia="游明朝"/>
          <w:i/>
          <w:iCs w:val="0"/>
          <w:sz w:val="20"/>
          <w:szCs w:val="21"/>
          <w:lang w:eastAsia="ja-JP"/>
        </w:rPr>
        <w:t xml:space="preserve"> for non-back-to-back transmission</w:t>
      </w:r>
      <w:r>
        <w:rPr>
          <w:rFonts w:hint="eastAsia" w:eastAsia="宋体"/>
          <w:i/>
          <w:iCs w:val="0"/>
          <w:sz w:val="20"/>
          <w:szCs w:val="21"/>
          <w:lang w:val="en-US" w:eastAsia="zh-CN"/>
        </w:rPr>
        <w:t>.</w:t>
      </w:r>
    </w:p>
    <w:p>
      <w:pPr>
        <w:pStyle w:val="87"/>
        <w:numPr>
          <w:ilvl w:val="0"/>
          <w:numId w:val="0"/>
        </w:numPr>
        <w:rPr>
          <w:rFonts w:hint="default" w:eastAsia="宋体"/>
          <w:lang w:val="en-US" w:eastAsia="zh-CN"/>
        </w:rPr>
      </w:pPr>
      <w:r>
        <w:rPr>
          <w:rFonts w:hint="eastAsia"/>
          <w:lang w:val="en-US" w:eastAsia="zh-CN"/>
        </w:rPr>
        <w:t xml:space="preserve">Another remaining issue with high priority is about whether to add one note for FG </w:t>
      </w:r>
      <w:r>
        <w:rPr>
          <w:sz w:val="20"/>
          <w:szCs w:val="21"/>
        </w:rPr>
        <w:t>30-4c</w:t>
      </w:r>
      <w:r>
        <w:rPr>
          <w:rFonts w:hint="eastAsia"/>
          <w:sz w:val="20"/>
          <w:szCs w:val="21"/>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after="120"/>
              <w:jc w:val="both"/>
              <w:rPr>
                <w:b/>
                <w:bCs/>
                <w:sz w:val="20"/>
                <w:szCs w:val="21"/>
              </w:rPr>
            </w:pPr>
            <w:r>
              <w:rPr>
                <w:b/>
                <w:bCs/>
                <w:sz w:val="20"/>
                <w:szCs w:val="21"/>
                <w:highlight w:val="green"/>
              </w:rPr>
              <w:t>Agreement</w:t>
            </w:r>
          </w:p>
          <w:p>
            <w:pPr>
              <w:numPr>
                <w:ilvl w:val="0"/>
                <w:numId w:val="9"/>
              </w:numPr>
              <w:spacing w:after="120" w:afterLines="0"/>
              <w:jc w:val="both"/>
              <w:rPr>
                <w:sz w:val="20"/>
                <w:szCs w:val="21"/>
              </w:rPr>
            </w:pPr>
            <w:r>
              <w:rPr>
                <w:sz w:val="20"/>
                <w:szCs w:val="21"/>
              </w:rPr>
              <w:t>FGs 30-4 to 30-4d are not merged</w:t>
            </w:r>
          </w:p>
          <w:p>
            <w:pPr>
              <w:numPr>
                <w:ilvl w:val="1"/>
                <w:numId w:val="9"/>
              </w:numPr>
              <w:overflowPunct w:val="0"/>
              <w:autoSpaceDE w:val="0"/>
              <w:autoSpaceDN w:val="0"/>
              <w:adjustRightInd w:val="0"/>
              <w:spacing w:after="120" w:afterLines="0"/>
              <w:jc w:val="both"/>
              <w:textAlignment w:val="baseline"/>
              <w:rPr>
                <w:rFonts w:hint="eastAsia"/>
                <w:vertAlign w:val="baseline"/>
                <w:lang w:val="en-US" w:eastAsia="zh-CN"/>
              </w:rPr>
            </w:pPr>
            <w:r>
              <w:rPr>
                <w:sz w:val="20"/>
                <w:szCs w:val="21"/>
              </w:rPr>
              <w:t>FFS: whether to Add a note in FG 30-4c: “Note: If a UE reports support of FG [30-4a], 30-4c, [30-3] and/or 30-3a, the UE supports DMRS bundling for the repetitions of TBoMS”</w:t>
            </w:r>
          </w:p>
        </w:tc>
      </w:tr>
    </w:tbl>
    <w:p>
      <w:pPr>
        <w:pStyle w:val="87"/>
        <w:numPr>
          <w:ilvl w:val="0"/>
          <w:numId w:val="0"/>
        </w:numPr>
        <w:rPr>
          <w:rFonts w:hint="eastAsia"/>
          <w:lang w:val="en-US" w:eastAsia="zh-CN"/>
        </w:rPr>
      </w:pPr>
    </w:p>
    <w:p>
      <w:pPr>
        <w:pStyle w:val="87"/>
        <w:numPr>
          <w:ilvl w:val="0"/>
          <w:numId w:val="0"/>
        </w:numPr>
        <w:rPr>
          <w:rFonts w:hint="default" w:eastAsia="宋体"/>
          <w:lang w:val="en-US" w:eastAsia="zh-CN"/>
        </w:rPr>
      </w:pPr>
      <w:r>
        <w:rPr>
          <w:rFonts w:hint="eastAsia"/>
          <w:lang w:val="en-US" w:eastAsia="zh-CN"/>
        </w:rPr>
        <w:t>Though we don</w:t>
      </w:r>
      <w:r>
        <w:rPr>
          <w:rFonts w:hint="default"/>
          <w:lang w:val="en-US" w:eastAsia="zh-CN"/>
        </w:rPr>
        <w:t>’</w:t>
      </w:r>
      <w:r>
        <w:rPr>
          <w:rFonts w:hint="eastAsia"/>
          <w:lang w:val="en-US" w:eastAsia="zh-CN"/>
        </w:rPr>
        <w:t xml:space="preserve">t see much necessity for such not, we are ok to add one note for better clarity if there is different understanding on this point. In our view, </w:t>
      </w:r>
      <w:r>
        <w:rPr>
          <w:sz w:val="20"/>
          <w:szCs w:val="21"/>
        </w:rPr>
        <w:t>FG 30-4a,</w:t>
      </w:r>
      <w:r>
        <w:rPr>
          <w:rFonts w:hint="eastAsia"/>
          <w:sz w:val="20"/>
          <w:szCs w:val="21"/>
          <w:lang w:val="en-US" w:eastAsia="zh-CN"/>
        </w:rPr>
        <w:t xml:space="preserve"> which is related to DMRS bundling of PUSCH repetition type A, has no impact on support of </w:t>
      </w:r>
      <w:r>
        <w:rPr>
          <w:sz w:val="20"/>
          <w:szCs w:val="21"/>
        </w:rPr>
        <w:t>FG 30-4c</w:t>
      </w:r>
      <w:r>
        <w:rPr>
          <w:rFonts w:hint="eastAsia"/>
          <w:sz w:val="20"/>
          <w:szCs w:val="21"/>
          <w:lang w:val="en-US" w:eastAsia="zh-CN"/>
        </w:rPr>
        <w:t xml:space="preserve">, and FG 30-3 is not needed as it is clear a UE can support it if a UE reports FG </w:t>
      </w:r>
      <w:r>
        <w:rPr>
          <w:sz w:val="20"/>
          <w:szCs w:val="21"/>
        </w:rPr>
        <w:t>30-3a</w:t>
      </w:r>
      <w:r>
        <w:rPr>
          <w:rFonts w:hint="eastAsia"/>
          <w:sz w:val="20"/>
          <w:szCs w:val="21"/>
          <w:lang w:val="en-US" w:eastAsia="zh-CN"/>
        </w:rPr>
        <w:t xml:space="preserve">. Therefore, we have the following proposal. </w:t>
      </w:r>
    </w:p>
    <w:p>
      <w:pPr>
        <w:pStyle w:val="87"/>
        <w:numPr>
          <w:ilvl w:val="0"/>
          <w:numId w:val="0"/>
        </w:numPr>
        <w:rPr>
          <w:rFonts w:hint="default" w:eastAsia="宋体"/>
          <w:lang w:val="en-US" w:eastAsia="zh-CN"/>
        </w:rPr>
      </w:pPr>
      <w:r>
        <w:rPr>
          <w:rFonts w:hint="eastAsia"/>
          <w:b/>
          <w:i/>
          <w:iCs w:val="0"/>
          <w:lang w:val="en-GB" w:eastAsia="zh-CN"/>
        </w:rPr>
        <w:t xml:space="preserve">Proposal </w:t>
      </w:r>
      <w:r>
        <w:rPr>
          <w:rFonts w:hint="eastAsia"/>
          <w:b/>
          <w:i/>
          <w:iCs w:val="0"/>
          <w:lang w:val="en-US" w:eastAsia="zh-CN"/>
        </w:rPr>
        <w:t>5</w:t>
      </w:r>
      <w:r>
        <w:rPr>
          <w:rFonts w:hint="eastAsia"/>
          <w:b/>
          <w:i/>
          <w:iCs w:val="0"/>
          <w:lang w:val="en-GB" w:eastAsia="zh-CN"/>
        </w:rPr>
        <w:t xml:space="preserve">: </w:t>
      </w:r>
      <w:r>
        <w:rPr>
          <w:i/>
          <w:iCs/>
          <w:sz w:val="20"/>
          <w:szCs w:val="21"/>
        </w:rPr>
        <w:t>Add a note in FG 30-4c: “Note: If a UE reports support of FG 30-4c</w:t>
      </w:r>
      <w:r>
        <w:rPr>
          <w:rFonts w:hint="eastAsia"/>
          <w:i/>
          <w:iCs/>
          <w:sz w:val="20"/>
          <w:szCs w:val="21"/>
          <w:lang w:val="en-US" w:eastAsia="zh-CN"/>
        </w:rPr>
        <w:t xml:space="preserve"> and</w:t>
      </w:r>
      <w:r>
        <w:rPr>
          <w:i/>
          <w:iCs/>
          <w:sz w:val="20"/>
          <w:szCs w:val="21"/>
        </w:rPr>
        <w:t xml:space="preserve"> 30-3a, the UE supports DMRS bundling for the repetitions of TBoMS</w:t>
      </w:r>
      <w:r>
        <w:rPr>
          <w:rFonts w:hint="eastAsia"/>
          <w:i/>
          <w:iCs/>
          <w:sz w:val="20"/>
          <w:szCs w:val="21"/>
          <w:lang w:val="en-US" w:eastAsia="zh-CN"/>
        </w:rPr>
        <w:t xml:space="preserve">. </w:t>
      </w:r>
    </w:p>
    <w:p>
      <w:pPr>
        <w:pStyle w:val="3"/>
        <w:rPr>
          <w:lang w:val="en-US" w:eastAsia="zh-CN"/>
        </w:rPr>
      </w:pPr>
      <w:r>
        <w:rPr>
          <w:rFonts w:hint="eastAsia"/>
          <w:lang w:val="en-US" w:eastAsia="zh-CN"/>
        </w:rPr>
        <w:t>Dynamic PUCCH repetitions</w:t>
      </w:r>
    </w:p>
    <w:p>
      <w:pPr>
        <w:bidi w:val="0"/>
        <w:rPr>
          <w:rFonts w:hint="default"/>
          <w:lang w:val="en-US" w:eastAsia="zh-CN"/>
        </w:rPr>
      </w:pPr>
      <w:r>
        <w:rPr>
          <w:rFonts w:hint="eastAsia"/>
          <w:lang w:val="en-US" w:eastAsia="zh-CN"/>
        </w:rPr>
        <w:t xml:space="preserve">We think that one single FG is sufficient for all PUCCH formats. Different PUCCH formats may target different use cases, while there is no difference among different PUCCH formats from implementation complexity point of view. Therefore, we have the following proposal. </w:t>
      </w:r>
    </w:p>
    <w:p>
      <w:pPr>
        <w:rPr>
          <w:rFonts w:hint="eastAsia" w:ascii="Arial" w:hAnsi="Arial"/>
          <w:lang w:val="en-US" w:eastAsia="zh-CN"/>
        </w:rPr>
      </w:pPr>
      <w:r>
        <w:rPr>
          <w:rFonts w:hint="eastAsia"/>
          <w:b/>
          <w:bCs w:val="0"/>
          <w:i/>
          <w:iCs w:val="0"/>
          <w:lang w:val="en-GB" w:eastAsia="zh-CN"/>
        </w:rPr>
        <w:t xml:space="preserve">Proposal </w:t>
      </w:r>
      <w:r>
        <w:rPr>
          <w:rFonts w:hint="eastAsia"/>
          <w:b/>
          <w:bCs w:val="0"/>
          <w:i/>
          <w:iCs w:val="0"/>
          <w:lang w:val="en-US" w:eastAsia="zh-CN"/>
        </w:rPr>
        <w:t xml:space="preserve">6: </w:t>
      </w:r>
      <w:r>
        <w:rPr>
          <w:b w:val="0"/>
          <w:bCs w:val="0"/>
          <w:i/>
          <w:iCs/>
          <w:szCs w:val="21"/>
        </w:rPr>
        <w:t>FG 30-5 is not separated to multiple FG</w:t>
      </w:r>
      <w:r>
        <w:rPr>
          <w:rFonts w:hint="eastAsia"/>
          <w:b w:val="0"/>
          <w:bCs w:val="0"/>
          <w:i/>
          <w:iCs/>
          <w:szCs w:val="21"/>
          <w:lang w:val="en-US" w:eastAsia="zh-CN"/>
        </w:rPr>
        <w:t xml:space="preserve">. </w:t>
      </w:r>
    </w:p>
    <w:p>
      <w:pPr>
        <w:pStyle w:val="3"/>
        <w:rPr>
          <w:rFonts w:hint="default" w:ascii="Arial" w:hAnsi="Arial"/>
          <w:lang w:val="en-US" w:eastAsia="zh-CN"/>
        </w:rPr>
      </w:pPr>
      <w:r>
        <w:rPr>
          <w:rFonts w:hint="eastAsia" w:ascii="Arial" w:hAnsi="Arial"/>
          <w:lang w:val="en-US" w:eastAsia="zh-CN"/>
        </w:rPr>
        <w:t>Msg3</w:t>
      </w:r>
      <w:r>
        <w:rPr>
          <w:rFonts w:hint="eastAsia"/>
          <w:lang w:val="en-US" w:eastAsia="zh-CN"/>
        </w:rPr>
        <w:t xml:space="preserve"> PUSCH</w:t>
      </w:r>
      <w:r>
        <w:rPr>
          <w:rFonts w:hint="eastAsia" w:ascii="Arial" w:hAnsi="Arial"/>
          <w:lang w:val="en-US" w:eastAsia="zh-CN"/>
        </w:rPr>
        <w:t xml:space="preserve"> repetition</w:t>
      </w:r>
    </w:p>
    <w:p>
      <w:pPr>
        <w:rPr>
          <w:rFonts w:hint="default" w:ascii="Arial" w:hAnsi="Arial"/>
          <w:lang w:val="en-US" w:eastAsia="zh-CN"/>
        </w:rPr>
      </w:pPr>
      <w:r>
        <w:rPr>
          <w:rFonts w:hint="eastAsia"/>
          <w:lang w:val="en-US" w:eastAsia="zh-CN"/>
        </w:rPr>
        <w:t xml:space="preserve">In RAN1#107-e, it was agreed to introduce FG 30-6 for Msg3 PUSCH repetition. </w:t>
      </w:r>
      <w:r>
        <w:rPr>
          <w:rFonts w:hint="eastAsia" w:cs="Times New Roman"/>
          <w:szCs w:val="18"/>
          <w:lang w:val="en-US" w:eastAsia="zh-CN"/>
        </w:rPr>
        <w:t xml:space="preserve">Regarding the reporting type, we think per UE reporting is sufficient. As for the </w:t>
      </w:r>
      <w:r>
        <w:rPr>
          <w:rFonts w:hint="default" w:cs="Times New Roman"/>
          <w:szCs w:val="18"/>
          <w:lang w:val="en-US" w:eastAsia="zh-CN"/>
        </w:rPr>
        <w:t>‘</w:t>
      </w:r>
      <w:r>
        <w:rPr>
          <w:rFonts w:hint="default" w:ascii="Times New Roman" w:hAnsi="Times New Roman" w:cs="Times New Roman"/>
          <w:b w:val="0"/>
          <w:bCs/>
          <w:szCs w:val="18"/>
          <w:lang w:eastAsia="ja-JP"/>
        </w:rPr>
        <w:t>Need of FDD/TDD differentiation</w:t>
      </w:r>
      <w:r>
        <w:rPr>
          <w:rFonts w:hint="default" w:cs="Times New Roman"/>
          <w:b w:val="0"/>
          <w:bCs/>
          <w:szCs w:val="18"/>
          <w:lang w:val="en-US" w:eastAsia="zh-CN"/>
        </w:rPr>
        <w:t>’</w:t>
      </w:r>
      <w:r>
        <w:rPr>
          <w:rFonts w:hint="eastAsia" w:cs="Times New Roman"/>
          <w:b w:val="0"/>
          <w:bCs/>
          <w:szCs w:val="18"/>
          <w:lang w:val="en-US" w:eastAsia="zh-CN"/>
        </w:rPr>
        <w:t>, we don</w:t>
      </w:r>
      <w:r>
        <w:rPr>
          <w:rFonts w:hint="default" w:cs="Times New Roman"/>
          <w:b w:val="0"/>
          <w:bCs/>
          <w:szCs w:val="18"/>
          <w:lang w:val="en-US" w:eastAsia="zh-CN"/>
        </w:rPr>
        <w:t>’</w:t>
      </w:r>
      <w:r>
        <w:rPr>
          <w:rFonts w:hint="eastAsia" w:cs="Times New Roman"/>
          <w:b w:val="0"/>
          <w:bCs/>
          <w:szCs w:val="18"/>
          <w:lang w:val="en-US" w:eastAsia="zh-CN"/>
        </w:rPr>
        <w:t xml:space="preserve">t see much difference from UE complexity point of view. </w:t>
      </w:r>
    </w:p>
    <w:p>
      <w:pPr>
        <w:rPr>
          <w:lang w:eastAsia="zh-CN"/>
        </w:rPr>
      </w:pPr>
      <w:r>
        <w:rPr>
          <w:rFonts w:hint="eastAsia"/>
          <w:b/>
          <w:bCs w:val="0"/>
          <w:i/>
          <w:iCs w:val="0"/>
          <w:lang w:val="en-GB" w:eastAsia="zh-CN"/>
        </w:rPr>
        <w:t xml:space="preserve">Proposal </w:t>
      </w:r>
      <w:r>
        <w:rPr>
          <w:rFonts w:hint="eastAsia"/>
          <w:b/>
          <w:bCs w:val="0"/>
          <w:i/>
          <w:iCs w:val="0"/>
          <w:lang w:val="en-US" w:eastAsia="zh-CN"/>
        </w:rPr>
        <w:t xml:space="preserve">7: </w:t>
      </w:r>
      <w:r>
        <w:rPr>
          <w:rFonts w:hint="eastAsia"/>
          <w:b w:val="0"/>
          <w:bCs/>
          <w:i/>
          <w:iCs w:val="0"/>
          <w:lang w:val="en-US" w:eastAsia="zh-CN"/>
        </w:rPr>
        <w:t>For FG 30-6, support per UE reporting and no n</w:t>
      </w:r>
      <w:r>
        <w:rPr>
          <w:rFonts w:hint="default" w:ascii="Times New Roman" w:hAnsi="Times New Roman" w:cs="Times New Roman"/>
          <w:b w:val="0"/>
          <w:bCs/>
          <w:i/>
          <w:iCs w:val="0"/>
          <w:szCs w:val="18"/>
          <w:lang w:eastAsia="ja-JP"/>
        </w:rPr>
        <w:t>eed of FDD/TDD differentiation</w:t>
      </w:r>
      <w:r>
        <w:rPr>
          <w:rFonts w:hint="eastAsia" w:cs="Times New Roman"/>
          <w:b w:val="0"/>
          <w:bCs/>
          <w:i/>
          <w:iCs w:val="0"/>
          <w:szCs w:val="18"/>
          <w:lang w:val="en-US" w:eastAsia="zh-CN"/>
        </w:rPr>
        <w:t xml:space="preserve">. </w:t>
      </w:r>
    </w:p>
    <w:p>
      <w:pPr>
        <w:pStyle w:val="2"/>
        <w:rPr>
          <w:lang w:eastAsia="zh-CN"/>
        </w:rPr>
      </w:pPr>
      <w:r>
        <w:rPr>
          <w:rFonts w:hint="eastAsia"/>
          <w:lang w:eastAsia="zh-CN"/>
        </w:rPr>
        <w:t>C</w:t>
      </w:r>
      <w:r>
        <w:rPr>
          <w:lang w:eastAsia="zh-CN"/>
        </w:rPr>
        <w:t>onclusion</w:t>
      </w:r>
    </w:p>
    <w:p>
      <w:pPr>
        <w:rPr>
          <w:rFonts w:hint="eastAsia"/>
          <w:lang w:val="en-US" w:eastAsia="zh-CN"/>
        </w:rPr>
      </w:pPr>
      <w:r>
        <w:rPr>
          <w:rFonts w:hint="eastAsia"/>
          <w:lang w:val="en-US" w:eastAsia="zh-CN"/>
        </w:rPr>
        <w:t xml:space="preserve">Based on the discussion, we have the following proposals. </w:t>
      </w:r>
    </w:p>
    <w:p>
      <w:pPr>
        <w:snapToGrid w:val="0"/>
        <w:spacing w:after="120" w:afterLines="50"/>
        <w:jc w:val="left"/>
        <w:rPr>
          <w:rFonts w:hint="eastAsia"/>
          <w:b w:val="0"/>
          <w:bCs/>
          <w:i/>
          <w:iCs w:val="0"/>
          <w:lang w:val="en-US" w:eastAsia="zh-CN"/>
        </w:rPr>
      </w:pPr>
      <w:r>
        <w:rPr>
          <w:rFonts w:hint="eastAsia"/>
          <w:b/>
          <w:i/>
          <w:lang w:val="en-GB" w:eastAsia="zh-CN"/>
        </w:rPr>
        <w:t xml:space="preserve">Proposal 1: </w:t>
      </w:r>
      <w:r>
        <w:rPr>
          <w:rFonts w:hint="eastAsia"/>
          <w:b w:val="0"/>
          <w:bCs/>
          <w:i/>
          <w:iCs w:val="0"/>
          <w:lang w:val="en-US" w:eastAsia="zh-CN"/>
        </w:rPr>
        <w:t xml:space="preserve">Merge FG 30-1 and FG 30-1a </w:t>
      </w:r>
      <w:r>
        <w:rPr>
          <w:rFonts w:hint="default" w:ascii="Times New Roman" w:hAnsi="Times New Roman" w:cs="Times New Roman"/>
          <w:i/>
          <w:iCs w:val="0"/>
          <w:sz w:val="20"/>
          <w:szCs w:val="20"/>
        </w:rPr>
        <w:t>into an FG</w:t>
      </w:r>
      <w:r>
        <w:rPr>
          <w:rFonts w:hint="eastAsia"/>
          <w:b w:val="0"/>
          <w:bCs/>
          <w:i/>
          <w:iCs w:val="0"/>
          <w:lang w:val="en-US" w:eastAsia="zh-CN"/>
        </w:rPr>
        <w:t xml:space="preserve">, i.e., Option 3 is adopted. </w:t>
      </w:r>
    </w:p>
    <w:p>
      <w:pPr>
        <w:numPr>
          <w:ilvl w:val="0"/>
          <w:numId w:val="12"/>
        </w:numPr>
        <w:snapToGrid w:val="0"/>
        <w:spacing w:after="120" w:afterLines="50"/>
        <w:ind w:left="840" w:leftChars="0" w:hanging="420" w:firstLineChars="0"/>
        <w:jc w:val="left"/>
        <w:rPr>
          <w:b/>
          <w:i/>
          <w:iCs w:val="0"/>
          <w:lang w:eastAsia="zh-CN"/>
        </w:rPr>
      </w:pPr>
      <w:r>
        <w:rPr>
          <w:rFonts w:hint="eastAsia"/>
          <w:b w:val="0"/>
          <w:bCs/>
          <w:i/>
          <w:iCs w:val="0"/>
          <w:lang w:val="en-US" w:eastAsia="zh-CN"/>
        </w:rPr>
        <w:t xml:space="preserve">Per UE reporting is supported. </w:t>
      </w:r>
    </w:p>
    <w:p>
      <w:pPr>
        <w:snapToGrid w:val="0"/>
        <w:spacing w:after="120" w:afterLines="50"/>
        <w:jc w:val="left"/>
        <w:rPr>
          <w:rFonts w:hint="eastAsia"/>
          <w:b w:val="0"/>
          <w:bCs/>
          <w:i/>
          <w:iCs w:val="0"/>
          <w:lang w:val="en-US" w:eastAsia="zh-CN"/>
        </w:rPr>
      </w:pPr>
      <w:r>
        <w:rPr>
          <w:rFonts w:hint="eastAsia"/>
          <w:b/>
          <w:i/>
          <w:iCs w:val="0"/>
          <w:lang w:val="en-GB" w:eastAsia="zh-CN"/>
        </w:rPr>
        <w:t xml:space="preserve">Proposal </w:t>
      </w:r>
      <w:r>
        <w:rPr>
          <w:rFonts w:hint="eastAsia"/>
          <w:b/>
          <w:i/>
          <w:iCs w:val="0"/>
          <w:lang w:val="en-US" w:eastAsia="zh-CN"/>
        </w:rPr>
        <w:t>2</w:t>
      </w:r>
      <w:r>
        <w:rPr>
          <w:rFonts w:hint="eastAsia"/>
          <w:b/>
          <w:i/>
          <w:iCs w:val="0"/>
          <w:lang w:val="en-GB" w:eastAsia="zh-CN"/>
        </w:rPr>
        <w:t xml:space="preserve">: </w:t>
      </w:r>
      <w:r>
        <w:rPr>
          <w:rFonts w:hint="default" w:ascii="Times New Roman" w:hAnsi="Times New Roman" w:cs="Times New Roman"/>
          <w:i/>
          <w:iCs w:val="0"/>
          <w:sz w:val="20"/>
          <w:szCs w:val="20"/>
        </w:rPr>
        <w:t>Merge FGs 30-2 and 30-2a into an FG</w:t>
      </w:r>
      <w:r>
        <w:rPr>
          <w:rFonts w:hint="eastAsia"/>
          <w:b w:val="0"/>
          <w:bCs/>
          <w:i/>
          <w:iCs w:val="0"/>
          <w:lang w:val="en-US" w:eastAsia="zh-CN"/>
        </w:rPr>
        <w:t xml:space="preserve">, i.e., Option 3 is adopted. </w:t>
      </w:r>
    </w:p>
    <w:p>
      <w:pPr>
        <w:numPr>
          <w:ilvl w:val="0"/>
          <w:numId w:val="12"/>
        </w:numPr>
        <w:snapToGrid w:val="0"/>
        <w:spacing w:after="120" w:afterLines="50"/>
        <w:ind w:left="840" w:leftChars="0" w:hanging="420" w:firstLineChars="0"/>
        <w:jc w:val="left"/>
        <w:rPr>
          <w:rFonts w:hint="default" w:ascii="Times New Roman" w:hAnsi="Times New Roman" w:cs="Times New Roman"/>
          <w:sz w:val="20"/>
          <w:szCs w:val="20"/>
          <w:lang w:eastAsia="zh-CN"/>
        </w:rPr>
      </w:pPr>
      <w:r>
        <w:rPr>
          <w:rFonts w:hint="eastAsia"/>
          <w:b w:val="0"/>
          <w:bCs/>
          <w:i/>
          <w:iCs w:val="0"/>
          <w:lang w:val="en-US" w:eastAsia="zh-CN"/>
        </w:rPr>
        <w:t xml:space="preserve">Per UE reporting is supported. </w:t>
      </w:r>
    </w:p>
    <w:p>
      <w:pPr>
        <w:pStyle w:val="114"/>
        <w:numPr>
          <w:ilvl w:val="0"/>
          <w:numId w:val="0"/>
        </w:numPr>
        <w:spacing w:after="120" w:afterLines="0" w:line="240" w:lineRule="auto"/>
        <w:rPr>
          <w:rFonts w:hint="eastAsia"/>
          <w:b w:val="0"/>
          <w:bCs/>
          <w:i/>
          <w:iCs w:val="0"/>
          <w:lang w:val="en-US" w:eastAsia="zh-CN"/>
        </w:rPr>
      </w:pPr>
      <w:r>
        <w:rPr>
          <w:rFonts w:hint="eastAsia"/>
          <w:b/>
          <w:i/>
          <w:iCs w:val="0"/>
          <w:lang w:val="en-GB" w:eastAsia="zh-CN"/>
        </w:rPr>
        <w:t xml:space="preserve">Proposal </w:t>
      </w:r>
      <w:r>
        <w:rPr>
          <w:rFonts w:hint="eastAsia"/>
          <w:b/>
          <w:i/>
          <w:iCs w:val="0"/>
          <w:lang w:val="en-US" w:eastAsia="zh-CN"/>
        </w:rPr>
        <w:t>3</w:t>
      </w:r>
      <w:r>
        <w:rPr>
          <w:rFonts w:hint="eastAsia"/>
          <w:b/>
          <w:i/>
          <w:iCs w:val="0"/>
          <w:lang w:val="en-GB" w:eastAsia="zh-CN"/>
        </w:rPr>
        <w:t xml:space="preserve">: </w:t>
      </w:r>
      <w:r>
        <w:rPr>
          <w:rFonts w:hint="default" w:ascii="Times New Roman" w:hAnsi="Times New Roman" w:cs="Times New Roman"/>
          <w:i/>
          <w:iCs w:val="0"/>
          <w:sz w:val="20"/>
          <w:szCs w:val="20"/>
        </w:rPr>
        <w:t>Keep current structure</w:t>
      </w:r>
      <w:r>
        <w:rPr>
          <w:rFonts w:hint="eastAsia" w:eastAsia="宋体" w:cs="Times New Roman"/>
          <w:i/>
          <w:iCs w:val="0"/>
          <w:sz w:val="20"/>
          <w:szCs w:val="20"/>
          <w:lang w:val="en-US" w:eastAsia="zh-CN"/>
        </w:rPr>
        <w:t xml:space="preserve"> for </w:t>
      </w:r>
      <w:r>
        <w:rPr>
          <w:rFonts w:hint="default" w:ascii="Times New Roman" w:hAnsi="Times New Roman" w:cs="Times New Roman"/>
          <w:i/>
          <w:iCs w:val="0"/>
          <w:sz w:val="20"/>
          <w:szCs w:val="20"/>
        </w:rPr>
        <w:t>FG 30-3</w:t>
      </w:r>
      <w:r>
        <w:rPr>
          <w:rFonts w:hint="eastAsia" w:eastAsia="宋体" w:cs="Times New Roman"/>
          <w:i/>
          <w:iCs w:val="0"/>
          <w:sz w:val="20"/>
          <w:szCs w:val="20"/>
          <w:lang w:val="en-US" w:eastAsia="zh-CN"/>
        </w:rPr>
        <w:t xml:space="preserve">, </w:t>
      </w:r>
      <w:r>
        <w:rPr>
          <w:rFonts w:hint="eastAsia"/>
          <w:b w:val="0"/>
          <w:bCs/>
          <w:i/>
          <w:iCs w:val="0"/>
          <w:lang w:val="en-US" w:eastAsia="zh-CN"/>
        </w:rPr>
        <w:t xml:space="preserve">i.e., Option 1 is adopted. </w:t>
      </w:r>
    </w:p>
    <w:p>
      <w:pPr>
        <w:numPr>
          <w:ilvl w:val="0"/>
          <w:numId w:val="12"/>
        </w:numPr>
        <w:snapToGrid w:val="0"/>
        <w:spacing w:after="120" w:afterLines="50"/>
        <w:ind w:left="840" w:leftChars="0" w:hanging="420" w:firstLineChars="0"/>
        <w:jc w:val="left"/>
        <w:rPr>
          <w:b/>
          <w:lang w:eastAsia="zh-CN"/>
        </w:rPr>
      </w:pPr>
      <w:r>
        <w:rPr>
          <w:rFonts w:hint="eastAsia"/>
          <w:b w:val="0"/>
          <w:bCs/>
          <w:i/>
          <w:iCs w:val="0"/>
          <w:lang w:val="en-US" w:eastAsia="zh-CN"/>
        </w:rPr>
        <w:t xml:space="preserve">Per UE reporting is supported. </w:t>
      </w:r>
    </w:p>
    <w:p>
      <w:pPr>
        <w:pStyle w:val="114"/>
        <w:numPr>
          <w:ilvl w:val="0"/>
          <w:numId w:val="0"/>
        </w:numPr>
        <w:spacing w:after="120" w:afterLines="0"/>
        <w:jc w:val="both"/>
        <w:rPr>
          <w:rFonts w:hint="eastAsia" w:eastAsia="宋体"/>
          <w:b/>
          <w:lang w:val="en-US" w:eastAsia="zh-CN"/>
        </w:rPr>
      </w:pPr>
      <w:r>
        <w:rPr>
          <w:rFonts w:hint="eastAsia"/>
          <w:b/>
          <w:i/>
          <w:iCs w:val="0"/>
          <w:lang w:val="en-GB" w:eastAsia="zh-CN"/>
        </w:rPr>
        <w:t xml:space="preserve">Proposal </w:t>
      </w:r>
      <w:r>
        <w:rPr>
          <w:rFonts w:hint="eastAsia"/>
          <w:b/>
          <w:i/>
          <w:iCs w:val="0"/>
          <w:lang w:val="en-US" w:eastAsia="zh-CN"/>
        </w:rPr>
        <w:t>4</w:t>
      </w:r>
      <w:r>
        <w:rPr>
          <w:rFonts w:hint="eastAsia"/>
          <w:b/>
          <w:i/>
          <w:iCs w:val="0"/>
          <w:lang w:val="en-GB" w:eastAsia="zh-CN"/>
        </w:rPr>
        <w:t xml:space="preserve">: </w:t>
      </w:r>
      <w:r>
        <w:rPr>
          <w:rFonts w:hint="eastAsia" w:eastAsia="宋体"/>
          <w:i/>
          <w:iCs w:val="0"/>
          <w:sz w:val="20"/>
          <w:szCs w:val="20"/>
          <w:lang w:val="en-US" w:eastAsia="zh-CN"/>
        </w:rPr>
        <w:t>I</w:t>
      </w:r>
      <w:r>
        <w:rPr>
          <w:i/>
          <w:iCs w:val="0"/>
          <w:sz w:val="20"/>
          <w:szCs w:val="20"/>
        </w:rPr>
        <w:t xml:space="preserve">ntroduce </w:t>
      </w:r>
      <w:r>
        <w:rPr>
          <w:i/>
          <w:iCs w:val="0"/>
          <w:sz w:val="20"/>
          <w:szCs w:val="21"/>
        </w:rPr>
        <w:t>one FG for all FG30-4x</w:t>
      </w:r>
      <w:r>
        <w:rPr>
          <w:rFonts w:eastAsia="游明朝"/>
          <w:i/>
          <w:iCs w:val="0"/>
          <w:sz w:val="20"/>
          <w:szCs w:val="21"/>
          <w:lang w:eastAsia="ja-JP"/>
        </w:rPr>
        <w:t xml:space="preserve"> for non-back-to-back transmission</w:t>
      </w:r>
      <w:r>
        <w:rPr>
          <w:rFonts w:hint="eastAsia" w:eastAsia="宋体"/>
          <w:i/>
          <w:iCs w:val="0"/>
          <w:sz w:val="20"/>
          <w:szCs w:val="21"/>
          <w:lang w:val="en-US" w:eastAsia="zh-CN"/>
        </w:rPr>
        <w:t>.</w:t>
      </w:r>
    </w:p>
    <w:p>
      <w:pPr>
        <w:pStyle w:val="87"/>
        <w:numPr>
          <w:ilvl w:val="0"/>
          <w:numId w:val="0"/>
        </w:numPr>
        <w:rPr>
          <w:rFonts w:hint="default" w:eastAsia="宋体"/>
          <w:lang w:val="en-US" w:eastAsia="zh-CN"/>
        </w:rPr>
      </w:pPr>
      <w:r>
        <w:rPr>
          <w:rFonts w:hint="eastAsia"/>
          <w:b/>
          <w:i/>
          <w:iCs w:val="0"/>
          <w:lang w:val="en-GB" w:eastAsia="zh-CN"/>
        </w:rPr>
        <w:t xml:space="preserve">Proposal </w:t>
      </w:r>
      <w:r>
        <w:rPr>
          <w:rFonts w:hint="eastAsia"/>
          <w:b/>
          <w:i/>
          <w:iCs w:val="0"/>
          <w:lang w:val="en-US" w:eastAsia="zh-CN"/>
        </w:rPr>
        <w:t>5</w:t>
      </w:r>
      <w:r>
        <w:rPr>
          <w:rFonts w:hint="eastAsia"/>
          <w:b/>
          <w:i/>
          <w:iCs w:val="0"/>
          <w:lang w:val="en-GB" w:eastAsia="zh-CN"/>
        </w:rPr>
        <w:t xml:space="preserve">: </w:t>
      </w:r>
      <w:r>
        <w:rPr>
          <w:i/>
          <w:iCs/>
          <w:sz w:val="20"/>
          <w:szCs w:val="21"/>
        </w:rPr>
        <w:t>Add a note in FG 30-4c: “Note: If a UE reports support of FG 30-4c</w:t>
      </w:r>
      <w:r>
        <w:rPr>
          <w:rFonts w:hint="eastAsia"/>
          <w:i/>
          <w:iCs/>
          <w:sz w:val="20"/>
          <w:szCs w:val="21"/>
          <w:lang w:val="en-US" w:eastAsia="zh-CN"/>
        </w:rPr>
        <w:t xml:space="preserve"> and</w:t>
      </w:r>
      <w:r>
        <w:rPr>
          <w:i/>
          <w:iCs/>
          <w:sz w:val="20"/>
          <w:szCs w:val="21"/>
        </w:rPr>
        <w:t xml:space="preserve"> 30-3a, the UE supports DMRS bundling for the repetitions of TBoMS</w:t>
      </w:r>
      <w:r>
        <w:rPr>
          <w:rFonts w:hint="eastAsia"/>
          <w:i/>
          <w:iCs/>
          <w:sz w:val="20"/>
          <w:szCs w:val="21"/>
          <w:lang w:val="en-US" w:eastAsia="zh-CN"/>
        </w:rPr>
        <w:t xml:space="preserve">. </w:t>
      </w:r>
    </w:p>
    <w:p>
      <w:pPr>
        <w:rPr>
          <w:rFonts w:hint="eastAsia" w:ascii="Arial" w:hAnsi="Arial"/>
          <w:lang w:val="en-US" w:eastAsia="zh-CN"/>
        </w:rPr>
      </w:pPr>
      <w:r>
        <w:rPr>
          <w:rFonts w:hint="eastAsia"/>
          <w:b/>
          <w:bCs w:val="0"/>
          <w:i/>
          <w:iCs w:val="0"/>
          <w:lang w:val="en-GB" w:eastAsia="zh-CN"/>
        </w:rPr>
        <w:t xml:space="preserve">Proposal </w:t>
      </w:r>
      <w:r>
        <w:rPr>
          <w:rFonts w:hint="eastAsia"/>
          <w:b/>
          <w:bCs w:val="0"/>
          <w:i/>
          <w:iCs w:val="0"/>
          <w:lang w:val="en-US" w:eastAsia="zh-CN"/>
        </w:rPr>
        <w:t xml:space="preserve">6: </w:t>
      </w:r>
      <w:r>
        <w:rPr>
          <w:b w:val="0"/>
          <w:bCs w:val="0"/>
          <w:i/>
          <w:iCs/>
          <w:szCs w:val="21"/>
        </w:rPr>
        <w:t>FG 30-5 is not separated to multiple FG</w:t>
      </w:r>
      <w:r>
        <w:rPr>
          <w:rFonts w:hint="eastAsia"/>
          <w:b w:val="0"/>
          <w:bCs w:val="0"/>
          <w:i/>
          <w:iCs/>
          <w:szCs w:val="21"/>
          <w:lang w:val="en-US" w:eastAsia="zh-CN"/>
        </w:rPr>
        <w:t xml:space="preserve">. </w:t>
      </w:r>
    </w:p>
    <w:p>
      <w:pPr>
        <w:rPr>
          <w:rFonts w:hint="eastAsia"/>
          <w:lang w:val="en-US" w:eastAsia="zh-CN"/>
        </w:rPr>
      </w:pPr>
      <w:r>
        <w:rPr>
          <w:rFonts w:hint="eastAsia"/>
          <w:b/>
          <w:bCs w:val="0"/>
          <w:i/>
          <w:iCs w:val="0"/>
          <w:lang w:val="en-GB" w:eastAsia="zh-CN"/>
        </w:rPr>
        <w:t xml:space="preserve">Proposal </w:t>
      </w:r>
      <w:r>
        <w:rPr>
          <w:rFonts w:hint="eastAsia"/>
          <w:b/>
          <w:bCs w:val="0"/>
          <w:i/>
          <w:iCs w:val="0"/>
          <w:lang w:val="en-US" w:eastAsia="zh-CN"/>
        </w:rPr>
        <w:t xml:space="preserve">7: </w:t>
      </w:r>
      <w:r>
        <w:rPr>
          <w:rFonts w:hint="eastAsia"/>
          <w:b w:val="0"/>
          <w:bCs/>
          <w:i/>
          <w:iCs w:val="0"/>
          <w:lang w:val="en-US" w:eastAsia="zh-CN"/>
        </w:rPr>
        <w:t>For FG 30-6, support per UE reporting and no n</w:t>
      </w:r>
      <w:r>
        <w:rPr>
          <w:rFonts w:hint="default" w:ascii="Times New Roman" w:hAnsi="Times New Roman" w:cs="Times New Roman"/>
          <w:b w:val="0"/>
          <w:bCs/>
          <w:i/>
          <w:iCs w:val="0"/>
          <w:szCs w:val="18"/>
          <w:lang w:eastAsia="ja-JP"/>
        </w:rPr>
        <w:t>eed of FDD/TDD differentiation</w:t>
      </w:r>
      <w:r>
        <w:rPr>
          <w:rFonts w:hint="eastAsia" w:cs="Times New Roman"/>
          <w:b w:val="0"/>
          <w:bCs/>
          <w:i/>
          <w:iCs w:val="0"/>
          <w:szCs w:val="18"/>
          <w:lang w:val="en-US" w:eastAsia="zh-CN"/>
        </w:rPr>
        <w:t xml:space="preserve">. </w:t>
      </w:r>
      <w:bookmarkStart w:id="3" w:name="_GoBack"/>
      <w:bookmarkEnd w:id="3"/>
    </w:p>
    <w:p>
      <w:pPr>
        <w:pStyle w:val="2"/>
        <w:rPr>
          <w:lang w:eastAsia="zh-CN"/>
        </w:rPr>
      </w:pPr>
      <w:r>
        <w:rPr>
          <w:rFonts w:hint="eastAsia"/>
          <w:lang w:eastAsia="zh-CN"/>
        </w:rPr>
        <w:t>R</w:t>
      </w:r>
      <w:r>
        <w:rPr>
          <w:lang w:eastAsia="zh-CN"/>
        </w:rPr>
        <w:t>eference</w:t>
      </w:r>
    </w:p>
    <w:p>
      <w:pPr>
        <w:pStyle w:val="126"/>
        <w:rPr>
          <w:rFonts w:hint="eastAsia"/>
          <w:szCs w:val="22"/>
          <w:lang w:val="en-US" w:eastAsia="zh-CN"/>
        </w:rPr>
      </w:pPr>
      <w:r>
        <w:rPr>
          <w:rFonts w:hint="eastAsia"/>
          <w:szCs w:val="22"/>
          <w:lang w:val="en-US" w:eastAsia="zh-CN"/>
        </w:rPr>
        <w:t xml:space="preserve">3GPP RAN1#107bis-e, </w:t>
      </w:r>
      <w:r>
        <w:rPr>
          <w:rFonts w:hint="eastAsia"/>
          <w:szCs w:val="22"/>
          <w:lang w:val="en-US" w:eastAsia="en-US"/>
        </w:rPr>
        <w:t>R1-2200780</w:t>
      </w:r>
      <w:r>
        <w:rPr>
          <w:rFonts w:hint="eastAsia"/>
          <w:szCs w:val="22"/>
          <w:lang w:val="en-US" w:eastAsia="zh-CN"/>
        </w:rPr>
        <w:t xml:space="preserve">, </w:t>
      </w:r>
      <w:r>
        <w:rPr>
          <w:rFonts w:hint="eastAsia"/>
          <w:szCs w:val="22"/>
          <w:lang w:val="en-US" w:eastAsia="en-US"/>
        </w:rPr>
        <w:t>Updated RAN1 UE features list for Rel-17 NR after RAN1 #107</w:t>
      </w:r>
      <w:r>
        <w:rPr>
          <w:rFonts w:hint="eastAsia"/>
          <w:szCs w:val="22"/>
          <w:lang w:val="en-US" w:eastAsia="zh-CN"/>
        </w:rPr>
        <w:t>bis</w:t>
      </w:r>
      <w:r>
        <w:rPr>
          <w:rFonts w:hint="eastAsia"/>
          <w:szCs w:val="22"/>
          <w:lang w:val="en-US" w:eastAsia="en-US"/>
        </w:rPr>
        <w:t>-e</w:t>
      </w:r>
      <w:r>
        <w:rPr>
          <w:rFonts w:hint="eastAsia"/>
          <w:szCs w:val="22"/>
          <w:lang w:val="en-US" w:eastAsia="zh-CN"/>
        </w:rPr>
        <w:t xml:space="preserve">, </w:t>
      </w:r>
      <w:r>
        <w:rPr>
          <w:rFonts w:hint="eastAsia"/>
          <w:szCs w:val="22"/>
          <w:lang w:val="en-US" w:eastAsia="en-US"/>
        </w:rPr>
        <w:t>Moderators</w:t>
      </w:r>
      <w:r>
        <w:rPr>
          <w:rFonts w:hint="eastAsia"/>
          <w:szCs w:val="22"/>
          <w:lang w:val="en-US" w:eastAsia="zh-CN"/>
        </w:rPr>
        <w:t xml:space="preserve"> </w:t>
      </w:r>
      <w:r>
        <w:rPr>
          <w:rFonts w:hint="eastAsia"/>
          <w:szCs w:val="22"/>
          <w:lang w:val="en-US" w:eastAsia="en-US"/>
        </w:rPr>
        <w:t>(AT&amp;T, NTT DOCOMO, INC.)</w:t>
      </w:r>
      <w:r>
        <w:rPr>
          <w:rFonts w:hint="eastAsia"/>
          <w:szCs w:val="22"/>
          <w:lang w:val="en-US" w:eastAsia="zh-CN"/>
        </w:rPr>
        <w:t>.</w:t>
      </w:r>
    </w:p>
    <w:p>
      <w:pPr>
        <w:pStyle w:val="126"/>
        <w:rPr>
          <w:rFonts w:hint="eastAsia"/>
          <w:szCs w:val="22"/>
          <w:lang w:val="en-US" w:eastAsia="zh-CN"/>
        </w:rPr>
      </w:pPr>
      <w:r>
        <w:rPr>
          <w:rFonts w:hint="eastAsia"/>
          <w:szCs w:val="22"/>
          <w:lang w:val="en-US" w:eastAsia="zh-CN"/>
        </w:rPr>
        <w:t xml:space="preserve">3GPP RAN1#107bis-e, </w:t>
      </w:r>
      <w:r>
        <w:rPr>
          <w:rFonts w:hint="eastAsia"/>
          <w:szCs w:val="22"/>
          <w:lang w:val="pt-PT" w:eastAsia="zh-CN"/>
        </w:rPr>
        <w:t>R1-2200254</w:t>
      </w:r>
      <w:r>
        <w:rPr>
          <w:rFonts w:hint="eastAsia"/>
          <w:szCs w:val="22"/>
          <w:lang w:val="en-US" w:eastAsia="zh-CN"/>
        </w:rPr>
        <w:t xml:space="preserve">, Summary on UE features for NR coverage enhancement, </w:t>
      </w:r>
      <w:r>
        <w:rPr>
          <w:rFonts w:hint="eastAsia"/>
          <w:szCs w:val="22"/>
          <w:lang w:val="pt-PT" w:eastAsia="zh-CN"/>
        </w:rPr>
        <w:t>Moderator (NTT DOCOMO, INC.)</w:t>
      </w:r>
      <w:r>
        <w:rPr>
          <w:rFonts w:hint="eastAsia"/>
          <w:szCs w:val="22"/>
          <w:lang w:val="en-US" w:eastAsia="zh-CN"/>
        </w:rPr>
        <w:t xml:space="preserve">. </w:t>
      </w:r>
    </w:p>
    <w:p>
      <w:pPr>
        <w:pStyle w:val="126"/>
        <w:numPr>
          <w:ilvl w:val="0"/>
          <w:numId w:val="0"/>
        </w:numPr>
        <w:overflowPunct/>
        <w:autoSpaceDE w:val="0"/>
        <w:autoSpaceDN w:val="0"/>
        <w:adjustRightInd/>
        <w:snapToGrid w:val="0"/>
        <w:spacing w:after="60"/>
        <w:jc w:val="both"/>
        <w:textAlignment w:val="auto"/>
        <w:rPr>
          <w:rFonts w:hint="eastAsia"/>
          <w:szCs w:val="22"/>
          <w:lang w:val="en-US" w:eastAsia="zh-CN"/>
        </w:rPr>
      </w:pPr>
    </w:p>
    <w:sectPr>
      <w:footerReference r:id="rId3" w:type="default"/>
      <w:footnotePr>
        <w:numRestart w:val="eachSect"/>
      </w:footnotePr>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0BC5CDD"/>
    <w:multiLevelType w:val="singleLevel"/>
    <w:tmpl w:val="F0BC5CDD"/>
    <w:lvl w:ilvl="0" w:tentative="0">
      <w:start w:val="1"/>
      <w:numFmt w:val="bullet"/>
      <w:lvlText w:val=""/>
      <w:lvlJc w:val="left"/>
      <w:pPr>
        <w:tabs>
          <w:tab w:val="left" w:pos="420"/>
        </w:tabs>
        <w:ind w:left="840" w:hanging="420"/>
      </w:pPr>
      <w:rPr>
        <w:rFonts w:hint="default" w:ascii="Wingdings" w:hAnsi="Wingdings"/>
      </w:rPr>
    </w:lvl>
  </w:abstractNum>
  <w:abstractNum w:abstractNumId="1">
    <w:nsid w:val="04252D78"/>
    <w:multiLevelType w:val="multilevel"/>
    <w:tmpl w:val="04252D7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438E5755"/>
    <w:multiLevelType w:val="multilevel"/>
    <w:tmpl w:val="438E5755"/>
    <w:lvl w:ilvl="0" w:tentative="0">
      <w:start w:val="5"/>
      <w:numFmt w:val="bullet"/>
      <w:lvlText w:val=""/>
      <w:lvlJc w:val="left"/>
      <w:pPr>
        <w:ind w:left="420" w:hanging="420"/>
      </w:pPr>
      <w:rPr>
        <w:rFonts w:hint="default" w:ascii="Symbol" w:hAnsi="Symbol" w:eastAsia="Batang"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D74394F"/>
    <w:multiLevelType w:val="multilevel"/>
    <w:tmpl w:val="6D74394F"/>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8"/>
  </w:num>
  <w:num w:numId="4">
    <w:abstractNumId w:val="5"/>
  </w:num>
  <w:num w:numId="5">
    <w:abstractNumId w:val="11"/>
  </w:num>
  <w:num w:numId="6">
    <w:abstractNumId w:val="7"/>
  </w:num>
  <w:num w:numId="7">
    <w:abstractNumId w:val="4"/>
  </w:num>
  <w:num w:numId="8">
    <w:abstractNumId w:val="10"/>
  </w:num>
  <w:num w:numId="9">
    <w:abstractNumId w:val="9"/>
  </w:num>
  <w:num w:numId="10">
    <w:abstractNumId w:val="1"/>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2"/>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51"/>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2D80"/>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2B29"/>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D3F"/>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206"/>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22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37F6B"/>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0C4"/>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B55"/>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90B"/>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D80"/>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9E2"/>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A39"/>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6CBD"/>
    <w:rsid w:val="008E743E"/>
    <w:rsid w:val="008E7684"/>
    <w:rsid w:val="008E76C6"/>
    <w:rsid w:val="008E7DB3"/>
    <w:rsid w:val="008E7F9D"/>
    <w:rsid w:val="008F0090"/>
    <w:rsid w:val="008F01AB"/>
    <w:rsid w:val="008F01C8"/>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AE7"/>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5A6"/>
    <w:rsid w:val="00AB1705"/>
    <w:rsid w:val="00AB1A33"/>
    <w:rsid w:val="00AB2857"/>
    <w:rsid w:val="00AB2C9D"/>
    <w:rsid w:val="00AB2EB7"/>
    <w:rsid w:val="00AB3299"/>
    <w:rsid w:val="00AB3418"/>
    <w:rsid w:val="00AB3491"/>
    <w:rsid w:val="00AB3865"/>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15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C04"/>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996"/>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0E96"/>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2C1"/>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0F5"/>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37F"/>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E8F"/>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404"/>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0D"/>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342C69"/>
    <w:rsid w:val="0208355B"/>
    <w:rsid w:val="0228590E"/>
    <w:rsid w:val="0284643E"/>
    <w:rsid w:val="02BA1A32"/>
    <w:rsid w:val="02DE0FA4"/>
    <w:rsid w:val="02F00014"/>
    <w:rsid w:val="03532C3F"/>
    <w:rsid w:val="036C3EB5"/>
    <w:rsid w:val="03B25C4C"/>
    <w:rsid w:val="03B8120C"/>
    <w:rsid w:val="03C6610F"/>
    <w:rsid w:val="03F94E83"/>
    <w:rsid w:val="03FC4856"/>
    <w:rsid w:val="04242045"/>
    <w:rsid w:val="043307F7"/>
    <w:rsid w:val="047B2F15"/>
    <w:rsid w:val="04CA1A9C"/>
    <w:rsid w:val="04F8723E"/>
    <w:rsid w:val="0531717B"/>
    <w:rsid w:val="056118F6"/>
    <w:rsid w:val="05AC06CA"/>
    <w:rsid w:val="05F20AC2"/>
    <w:rsid w:val="067D4C1C"/>
    <w:rsid w:val="06B127E5"/>
    <w:rsid w:val="06E164C8"/>
    <w:rsid w:val="072F2729"/>
    <w:rsid w:val="07C21FA9"/>
    <w:rsid w:val="08FE07E9"/>
    <w:rsid w:val="090034F8"/>
    <w:rsid w:val="0957797D"/>
    <w:rsid w:val="0972706B"/>
    <w:rsid w:val="097B4011"/>
    <w:rsid w:val="097E2358"/>
    <w:rsid w:val="09C21BB6"/>
    <w:rsid w:val="09ED5A03"/>
    <w:rsid w:val="0A867EAB"/>
    <w:rsid w:val="0ADB199B"/>
    <w:rsid w:val="0AFC60B7"/>
    <w:rsid w:val="0B60783C"/>
    <w:rsid w:val="0B8420FC"/>
    <w:rsid w:val="0BAD7041"/>
    <w:rsid w:val="0C145B9A"/>
    <w:rsid w:val="0C6F5654"/>
    <w:rsid w:val="0C6F774E"/>
    <w:rsid w:val="0CCE75B0"/>
    <w:rsid w:val="0D126CFE"/>
    <w:rsid w:val="0D132BA9"/>
    <w:rsid w:val="0D605DDB"/>
    <w:rsid w:val="0D660AC2"/>
    <w:rsid w:val="0D672BF6"/>
    <w:rsid w:val="0D672CB7"/>
    <w:rsid w:val="0DD007ED"/>
    <w:rsid w:val="0E120AD5"/>
    <w:rsid w:val="0E2C5FCA"/>
    <w:rsid w:val="0E2F04CE"/>
    <w:rsid w:val="0E9D66FA"/>
    <w:rsid w:val="0EB06FFE"/>
    <w:rsid w:val="0EE26D0E"/>
    <w:rsid w:val="0F3A0DFC"/>
    <w:rsid w:val="100237F2"/>
    <w:rsid w:val="10150A41"/>
    <w:rsid w:val="105F3678"/>
    <w:rsid w:val="106C6358"/>
    <w:rsid w:val="116332A0"/>
    <w:rsid w:val="11E10B49"/>
    <w:rsid w:val="11F042A3"/>
    <w:rsid w:val="12033CC4"/>
    <w:rsid w:val="1257267A"/>
    <w:rsid w:val="12A472D8"/>
    <w:rsid w:val="12FE321B"/>
    <w:rsid w:val="130859B8"/>
    <w:rsid w:val="13576BA2"/>
    <w:rsid w:val="13626497"/>
    <w:rsid w:val="13805E87"/>
    <w:rsid w:val="13881E43"/>
    <w:rsid w:val="139B225E"/>
    <w:rsid w:val="13BB7694"/>
    <w:rsid w:val="13D65AA3"/>
    <w:rsid w:val="141716E8"/>
    <w:rsid w:val="141F2191"/>
    <w:rsid w:val="142057BA"/>
    <w:rsid w:val="14836510"/>
    <w:rsid w:val="14FC642E"/>
    <w:rsid w:val="15313C9C"/>
    <w:rsid w:val="153D2A65"/>
    <w:rsid w:val="1575AEB2"/>
    <w:rsid w:val="164F7F6D"/>
    <w:rsid w:val="165E068A"/>
    <w:rsid w:val="16787FC0"/>
    <w:rsid w:val="16C32AB2"/>
    <w:rsid w:val="16D87E87"/>
    <w:rsid w:val="16F71CBD"/>
    <w:rsid w:val="1702D3F2"/>
    <w:rsid w:val="172D5AD7"/>
    <w:rsid w:val="177825E4"/>
    <w:rsid w:val="17B2539F"/>
    <w:rsid w:val="17B618BE"/>
    <w:rsid w:val="17C16304"/>
    <w:rsid w:val="18306948"/>
    <w:rsid w:val="1880153C"/>
    <w:rsid w:val="188D2058"/>
    <w:rsid w:val="18BA7603"/>
    <w:rsid w:val="18FD3F86"/>
    <w:rsid w:val="192B740B"/>
    <w:rsid w:val="1934624A"/>
    <w:rsid w:val="19497C62"/>
    <w:rsid w:val="195D7DA5"/>
    <w:rsid w:val="1988184A"/>
    <w:rsid w:val="19D346F3"/>
    <w:rsid w:val="1A0134CD"/>
    <w:rsid w:val="1A514204"/>
    <w:rsid w:val="1A9E0E89"/>
    <w:rsid w:val="1AB16FB0"/>
    <w:rsid w:val="1B0615F0"/>
    <w:rsid w:val="1B2E6DC7"/>
    <w:rsid w:val="1B5316CE"/>
    <w:rsid w:val="1B5E59D2"/>
    <w:rsid w:val="1B8F449F"/>
    <w:rsid w:val="1BC37BF1"/>
    <w:rsid w:val="1C0F0E93"/>
    <w:rsid w:val="1C766428"/>
    <w:rsid w:val="1C872C74"/>
    <w:rsid w:val="1CAE40E5"/>
    <w:rsid w:val="1DD50930"/>
    <w:rsid w:val="1DF407BB"/>
    <w:rsid w:val="1E2278A7"/>
    <w:rsid w:val="1E38003B"/>
    <w:rsid w:val="1E9E27B5"/>
    <w:rsid w:val="1F2B19E6"/>
    <w:rsid w:val="1F850095"/>
    <w:rsid w:val="1FB91CD0"/>
    <w:rsid w:val="1FE04229"/>
    <w:rsid w:val="20582ABA"/>
    <w:rsid w:val="20910CB1"/>
    <w:rsid w:val="20AD2940"/>
    <w:rsid w:val="20C05CF0"/>
    <w:rsid w:val="20CD42FE"/>
    <w:rsid w:val="21035A99"/>
    <w:rsid w:val="21282288"/>
    <w:rsid w:val="21311E54"/>
    <w:rsid w:val="2186272B"/>
    <w:rsid w:val="21C5256D"/>
    <w:rsid w:val="21E043FC"/>
    <w:rsid w:val="223252A1"/>
    <w:rsid w:val="224B500D"/>
    <w:rsid w:val="228C3B83"/>
    <w:rsid w:val="228E4F73"/>
    <w:rsid w:val="234F4A54"/>
    <w:rsid w:val="23680C07"/>
    <w:rsid w:val="237027D0"/>
    <w:rsid w:val="239E142D"/>
    <w:rsid w:val="23A25FED"/>
    <w:rsid w:val="23AD4AB0"/>
    <w:rsid w:val="23CD5ED8"/>
    <w:rsid w:val="23E1451F"/>
    <w:rsid w:val="24212A88"/>
    <w:rsid w:val="24492384"/>
    <w:rsid w:val="245870DE"/>
    <w:rsid w:val="246E0D05"/>
    <w:rsid w:val="247247A7"/>
    <w:rsid w:val="2473146A"/>
    <w:rsid w:val="24CC483B"/>
    <w:rsid w:val="267C047B"/>
    <w:rsid w:val="26976865"/>
    <w:rsid w:val="272353C8"/>
    <w:rsid w:val="27257285"/>
    <w:rsid w:val="27371CBF"/>
    <w:rsid w:val="27671489"/>
    <w:rsid w:val="276E4004"/>
    <w:rsid w:val="27C5366D"/>
    <w:rsid w:val="27D97657"/>
    <w:rsid w:val="27DD67CA"/>
    <w:rsid w:val="27FF6D58"/>
    <w:rsid w:val="28690808"/>
    <w:rsid w:val="28B07E55"/>
    <w:rsid w:val="28B54AA2"/>
    <w:rsid w:val="28DD01D6"/>
    <w:rsid w:val="294D6347"/>
    <w:rsid w:val="29FF4CFC"/>
    <w:rsid w:val="2A0F0B23"/>
    <w:rsid w:val="2A5B00AC"/>
    <w:rsid w:val="2A951FD8"/>
    <w:rsid w:val="2A9A76B0"/>
    <w:rsid w:val="2AB91175"/>
    <w:rsid w:val="2AFE2B7E"/>
    <w:rsid w:val="2B10276D"/>
    <w:rsid w:val="2B62344B"/>
    <w:rsid w:val="2B762CE0"/>
    <w:rsid w:val="2B7B4F0A"/>
    <w:rsid w:val="2BA24B47"/>
    <w:rsid w:val="2BB23BC1"/>
    <w:rsid w:val="2C6571AE"/>
    <w:rsid w:val="2C920D7A"/>
    <w:rsid w:val="2CA47C45"/>
    <w:rsid w:val="2CCE1857"/>
    <w:rsid w:val="2D0C7472"/>
    <w:rsid w:val="2D376513"/>
    <w:rsid w:val="2D7A57B8"/>
    <w:rsid w:val="2DC863F1"/>
    <w:rsid w:val="2E6074F7"/>
    <w:rsid w:val="2E643FFD"/>
    <w:rsid w:val="2E957E90"/>
    <w:rsid w:val="2EB72406"/>
    <w:rsid w:val="2F2367DE"/>
    <w:rsid w:val="2F414FFB"/>
    <w:rsid w:val="2F5758D7"/>
    <w:rsid w:val="2F9B3DA6"/>
    <w:rsid w:val="2FFA0C0B"/>
    <w:rsid w:val="303A67A0"/>
    <w:rsid w:val="304A0FFA"/>
    <w:rsid w:val="30BA18F4"/>
    <w:rsid w:val="31341265"/>
    <w:rsid w:val="313B2BB0"/>
    <w:rsid w:val="31542D3B"/>
    <w:rsid w:val="317D0107"/>
    <w:rsid w:val="3197488E"/>
    <w:rsid w:val="31A66294"/>
    <w:rsid w:val="322E37DA"/>
    <w:rsid w:val="325F1F99"/>
    <w:rsid w:val="32832752"/>
    <w:rsid w:val="328A5AEF"/>
    <w:rsid w:val="32FE23BF"/>
    <w:rsid w:val="330B3922"/>
    <w:rsid w:val="330E6893"/>
    <w:rsid w:val="33987B7F"/>
    <w:rsid w:val="33DE0CB9"/>
    <w:rsid w:val="34397575"/>
    <w:rsid w:val="34E22A09"/>
    <w:rsid w:val="34E657BF"/>
    <w:rsid w:val="3511129D"/>
    <w:rsid w:val="35300539"/>
    <w:rsid w:val="354612D6"/>
    <w:rsid w:val="354D1AD7"/>
    <w:rsid w:val="35574307"/>
    <w:rsid w:val="355B1284"/>
    <w:rsid w:val="357145A7"/>
    <w:rsid w:val="35903D81"/>
    <w:rsid w:val="359455FE"/>
    <w:rsid w:val="3611566F"/>
    <w:rsid w:val="36252993"/>
    <w:rsid w:val="368C2B13"/>
    <w:rsid w:val="36A727AD"/>
    <w:rsid w:val="36CD07B0"/>
    <w:rsid w:val="36CE57C7"/>
    <w:rsid w:val="36E84E34"/>
    <w:rsid w:val="3745134E"/>
    <w:rsid w:val="375C57D7"/>
    <w:rsid w:val="378078FE"/>
    <w:rsid w:val="37C74DD6"/>
    <w:rsid w:val="37CA7049"/>
    <w:rsid w:val="37DD651E"/>
    <w:rsid w:val="38474D1C"/>
    <w:rsid w:val="3853699C"/>
    <w:rsid w:val="38817DB3"/>
    <w:rsid w:val="388F41CD"/>
    <w:rsid w:val="38AD772A"/>
    <w:rsid w:val="38BA113F"/>
    <w:rsid w:val="39013B60"/>
    <w:rsid w:val="39054468"/>
    <w:rsid w:val="391E58E2"/>
    <w:rsid w:val="394B1C88"/>
    <w:rsid w:val="39684D9F"/>
    <w:rsid w:val="39DE56A8"/>
    <w:rsid w:val="3A135075"/>
    <w:rsid w:val="3A801FE7"/>
    <w:rsid w:val="3A8424B5"/>
    <w:rsid w:val="3AB31D0C"/>
    <w:rsid w:val="3ACD164B"/>
    <w:rsid w:val="3B266424"/>
    <w:rsid w:val="3B3E081B"/>
    <w:rsid w:val="3B4A3B53"/>
    <w:rsid w:val="3BE20E3F"/>
    <w:rsid w:val="3BF47021"/>
    <w:rsid w:val="3C371097"/>
    <w:rsid w:val="3C923082"/>
    <w:rsid w:val="3CD2366A"/>
    <w:rsid w:val="3D0354C7"/>
    <w:rsid w:val="3D7642C9"/>
    <w:rsid w:val="3DDA6D42"/>
    <w:rsid w:val="3E0A19C3"/>
    <w:rsid w:val="3E0B17C8"/>
    <w:rsid w:val="3E7347F4"/>
    <w:rsid w:val="3EDE67A7"/>
    <w:rsid w:val="3EF83C43"/>
    <w:rsid w:val="3EFF7689"/>
    <w:rsid w:val="3F01664D"/>
    <w:rsid w:val="3F175FC8"/>
    <w:rsid w:val="3F360011"/>
    <w:rsid w:val="3F741743"/>
    <w:rsid w:val="3F9B5F77"/>
    <w:rsid w:val="3F9E6E2A"/>
    <w:rsid w:val="3FAE0740"/>
    <w:rsid w:val="3FD010A5"/>
    <w:rsid w:val="3FD40385"/>
    <w:rsid w:val="40850DCD"/>
    <w:rsid w:val="40A53E0D"/>
    <w:rsid w:val="41450024"/>
    <w:rsid w:val="41687FE9"/>
    <w:rsid w:val="41AC1D9C"/>
    <w:rsid w:val="41AE54F1"/>
    <w:rsid w:val="4242619A"/>
    <w:rsid w:val="424D4C79"/>
    <w:rsid w:val="429273B3"/>
    <w:rsid w:val="42B20782"/>
    <w:rsid w:val="430D1D3A"/>
    <w:rsid w:val="43E44EE1"/>
    <w:rsid w:val="443169A5"/>
    <w:rsid w:val="44917C93"/>
    <w:rsid w:val="44C7170D"/>
    <w:rsid w:val="45F31D89"/>
    <w:rsid w:val="4611346C"/>
    <w:rsid w:val="46342EAF"/>
    <w:rsid w:val="466D796D"/>
    <w:rsid w:val="46D41E44"/>
    <w:rsid w:val="46DF2E27"/>
    <w:rsid w:val="47AE2F53"/>
    <w:rsid w:val="4811231A"/>
    <w:rsid w:val="485433AD"/>
    <w:rsid w:val="49446ABC"/>
    <w:rsid w:val="496938E0"/>
    <w:rsid w:val="49882B35"/>
    <w:rsid w:val="49C50E28"/>
    <w:rsid w:val="4B376AF3"/>
    <w:rsid w:val="4B3872E6"/>
    <w:rsid w:val="4B970466"/>
    <w:rsid w:val="4CA149AE"/>
    <w:rsid w:val="4D186E30"/>
    <w:rsid w:val="4D30690D"/>
    <w:rsid w:val="4DF51404"/>
    <w:rsid w:val="4E151E4F"/>
    <w:rsid w:val="4E5633F4"/>
    <w:rsid w:val="4E7740D9"/>
    <w:rsid w:val="4EAC0AFF"/>
    <w:rsid w:val="4EC2021D"/>
    <w:rsid w:val="4ED81A88"/>
    <w:rsid w:val="4F786A18"/>
    <w:rsid w:val="4FF94A0E"/>
    <w:rsid w:val="50182280"/>
    <w:rsid w:val="50683776"/>
    <w:rsid w:val="50A33341"/>
    <w:rsid w:val="50DC5F24"/>
    <w:rsid w:val="50FD13B2"/>
    <w:rsid w:val="516C0756"/>
    <w:rsid w:val="51BA2417"/>
    <w:rsid w:val="521D41F0"/>
    <w:rsid w:val="525D2CAE"/>
    <w:rsid w:val="52955D9E"/>
    <w:rsid w:val="52AE3CC1"/>
    <w:rsid w:val="52FE30BB"/>
    <w:rsid w:val="536E79E7"/>
    <w:rsid w:val="538265F1"/>
    <w:rsid w:val="538614B5"/>
    <w:rsid w:val="54122D56"/>
    <w:rsid w:val="546D7855"/>
    <w:rsid w:val="548F10EC"/>
    <w:rsid w:val="54CE2507"/>
    <w:rsid w:val="55181CD2"/>
    <w:rsid w:val="554673FA"/>
    <w:rsid w:val="55A85C36"/>
    <w:rsid w:val="55D01D97"/>
    <w:rsid w:val="561A3DF3"/>
    <w:rsid w:val="562312C7"/>
    <w:rsid w:val="563B3A53"/>
    <w:rsid w:val="564027E7"/>
    <w:rsid w:val="567922E4"/>
    <w:rsid w:val="57244B18"/>
    <w:rsid w:val="57970550"/>
    <w:rsid w:val="57C063CF"/>
    <w:rsid w:val="57EF6871"/>
    <w:rsid w:val="58240039"/>
    <w:rsid w:val="595A121E"/>
    <w:rsid w:val="59A36873"/>
    <w:rsid w:val="59AA125B"/>
    <w:rsid w:val="59C75644"/>
    <w:rsid w:val="5A7F616E"/>
    <w:rsid w:val="5AA021A5"/>
    <w:rsid w:val="5ACF7C62"/>
    <w:rsid w:val="5AD66DD9"/>
    <w:rsid w:val="5AF07FF7"/>
    <w:rsid w:val="5AF422E5"/>
    <w:rsid w:val="5B9B4D5B"/>
    <w:rsid w:val="5BF26431"/>
    <w:rsid w:val="5C0A4681"/>
    <w:rsid w:val="5C215A71"/>
    <w:rsid w:val="5C6956CE"/>
    <w:rsid w:val="5CB925D4"/>
    <w:rsid w:val="5CF054D0"/>
    <w:rsid w:val="5CFD1474"/>
    <w:rsid w:val="5D074DD0"/>
    <w:rsid w:val="5D2D7179"/>
    <w:rsid w:val="5D3A6218"/>
    <w:rsid w:val="5D426E22"/>
    <w:rsid w:val="5D7B08F3"/>
    <w:rsid w:val="5DCD6EAA"/>
    <w:rsid w:val="5DE640EE"/>
    <w:rsid w:val="5E1D0D4D"/>
    <w:rsid w:val="5E333D72"/>
    <w:rsid w:val="5E4D7057"/>
    <w:rsid w:val="5E725DEA"/>
    <w:rsid w:val="5E7343AC"/>
    <w:rsid w:val="5E780DEA"/>
    <w:rsid w:val="5EAE31D2"/>
    <w:rsid w:val="5F631FA8"/>
    <w:rsid w:val="5F7716A9"/>
    <w:rsid w:val="5FC32CE5"/>
    <w:rsid w:val="601E63BB"/>
    <w:rsid w:val="60216BFC"/>
    <w:rsid w:val="604043A1"/>
    <w:rsid w:val="60746EA7"/>
    <w:rsid w:val="61171BF3"/>
    <w:rsid w:val="61202E29"/>
    <w:rsid w:val="61993C9D"/>
    <w:rsid w:val="622D1615"/>
    <w:rsid w:val="637631BA"/>
    <w:rsid w:val="638B3B59"/>
    <w:rsid w:val="63BC2891"/>
    <w:rsid w:val="63DE260D"/>
    <w:rsid w:val="640C5FD2"/>
    <w:rsid w:val="64286AE0"/>
    <w:rsid w:val="64BE7110"/>
    <w:rsid w:val="64F44749"/>
    <w:rsid w:val="6528007E"/>
    <w:rsid w:val="652F3A1E"/>
    <w:rsid w:val="65507243"/>
    <w:rsid w:val="65576B9C"/>
    <w:rsid w:val="656027FF"/>
    <w:rsid w:val="659B5CD0"/>
    <w:rsid w:val="65AC6E0E"/>
    <w:rsid w:val="66457E51"/>
    <w:rsid w:val="6680376E"/>
    <w:rsid w:val="66835A87"/>
    <w:rsid w:val="66C55742"/>
    <w:rsid w:val="66E1725B"/>
    <w:rsid w:val="66ED31EA"/>
    <w:rsid w:val="66FA6BC5"/>
    <w:rsid w:val="67054225"/>
    <w:rsid w:val="671D6D46"/>
    <w:rsid w:val="67757810"/>
    <w:rsid w:val="67926798"/>
    <w:rsid w:val="6794515D"/>
    <w:rsid w:val="67B564F1"/>
    <w:rsid w:val="67FD3C1D"/>
    <w:rsid w:val="681E79D5"/>
    <w:rsid w:val="68A007EA"/>
    <w:rsid w:val="68EC3E79"/>
    <w:rsid w:val="691A3243"/>
    <w:rsid w:val="696C42BB"/>
    <w:rsid w:val="698A6B0F"/>
    <w:rsid w:val="69F125D7"/>
    <w:rsid w:val="6A081E29"/>
    <w:rsid w:val="6A5544F2"/>
    <w:rsid w:val="6A774D43"/>
    <w:rsid w:val="6A782EAA"/>
    <w:rsid w:val="6B704279"/>
    <w:rsid w:val="6C107C06"/>
    <w:rsid w:val="6C950849"/>
    <w:rsid w:val="6CA25EFF"/>
    <w:rsid w:val="6D020EA1"/>
    <w:rsid w:val="6D713CB4"/>
    <w:rsid w:val="6DC64251"/>
    <w:rsid w:val="6DC66137"/>
    <w:rsid w:val="6E0F1211"/>
    <w:rsid w:val="6E4A41DB"/>
    <w:rsid w:val="6E805EC6"/>
    <w:rsid w:val="6F217770"/>
    <w:rsid w:val="6F3C23D3"/>
    <w:rsid w:val="6F5C1702"/>
    <w:rsid w:val="6F6F6B1E"/>
    <w:rsid w:val="6F9B25C1"/>
    <w:rsid w:val="6FBD0858"/>
    <w:rsid w:val="6FC51A69"/>
    <w:rsid w:val="6FCD7813"/>
    <w:rsid w:val="701D2501"/>
    <w:rsid w:val="702A45E9"/>
    <w:rsid w:val="70554EF2"/>
    <w:rsid w:val="70832FE8"/>
    <w:rsid w:val="708B07F2"/>
    <w:rsid w:val="708D502C"/>
    <w:rsid w:val="70B843DE"/>
    <w:rsid w:val="70BC3E24"/>
    <w:rsid w:val="70BF0634"/>
    <w:rsid w:val="70EC71F4"/>
    <w:rsid w:val="715D1223"/>
    <w:rsid w:val="715E3D72"/>
    <w:rsid w:val="718503F1"/>
    <w:rsid w:val="72304D4A"/>
    <w:rsid w:val="7266626A"/>
    <w:rsid w:val="728410B5"/>
    <w:rsid w:val="72CE3B02"/>
    <w:rsid w:val="72E1752D"/>
    <w:rsid w:val="73515D72"/>
    <w:rsid w:val="73A015C2"/>
    <w:rsid w:val="73A913CF"/>
    <w:rsid w:val="73D7778B"/>
    <w:rsid w:val="73EB1497"/>
    <w:rsid w:val="73FE13AD"/>
    <w:rsid w:val="74000A47"/>
    <w:rsid w:val="745E4171"/>
    <w:rsid w:val="74885606"/>
    <w:rsid w:val="74EE0DD1"/>
    <w:rsid w:val="751115BE"/>
    <w:rsid w:val="75740E00"/>
    <w:rsid w:val="758704E1"/>
    <w:rsid w:val="75915199"/>
    <w:rsid w:val="76290495"/>
    <w:rsid w:val="763A080C"/>
    <w:rsid w:val="76E04D2E"/>
    <w:rsid w:val="76E36096"/>
    <w:rsid w:val="76EB5B39"/>
    <w:rsid w:val="772E2505"/>
    <w:rsid w:val="776D4E00"/>
    <w:rsid w:val="776F4F23"/>
    <w:rsid w:val="778C04D2"/>
    <w:rsid w:val="77AB56B0"/>
    <w:rsid w:val="77BD40B0"/>
    <w:rsid w:val="77D049F7"/>
    <w:rsid w:val="780B0378"/>
    <w:rsid w:val="78156E78"/>
    <w:rsid w:val="782D5EAF"/>
    <w:rsid w:val="78402D83"/>
    <w:rsid w:val="786302A1"/>
    <w:rsid w:val="789F1175"/>
    <w:rsid w:val="78A15763"/>
    <w:rsid w:val="78B8572B"/>
    <w:rsid w:val="78BD00A1"/>
    <w:rsid w:val="78D07545"/>
    <w:rsid w:val="7900231D"/>
    <w:rsid w:val="7931734A"/>
    <w:rsid w:val="79393642"/>
    <w:rsid w:val="794C7BF3"/>
    <w:rsid w:val="79547B36"/>
    <w:rsid w:val="79EA17F6"/>
    <w:rsid w:val="7AC35818"/>
    <w:rsid w:val="7ACA792A"/>
    <w:rsid w:val="7ADB38D4"/>
    <w:rsid w:val="7B0F1912"/>
    <w:rsid w:val="7BE1442B"/>
    <w:rsid w:val="7C630ABA"/>
    <w:rsid w:val="7CAE4A87"/>
    <w:rsid w:val="7CCA0991"/>
    <w:rsid w:val="7D2A70DF"/>
    <w:rsid w:val="7D9B693F"/>
    <w:rsid w:val="7DC870FB"/>
    <w:rsid w:val="7DD2691C"/>
    <w:rsid w:val="7DFB4DE9"/>
    <w:rsid w:val="7E3563A1"/>
    <w:rsid w:val="7E9326F9"/>
    <w:rsid w:val="7EAD141A"/>
    <w:rsid w:val="7EE20452"/>
    <w:rsid w:val="7F395D9C"/>
    <w:rsid w:val="7F6A4AF7"/>
    <w:rsid w:val="7F8B0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link w:val="16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rPr>
  </w:style>
  <w:style w:type="character" w:styleId="56">
    <w:name w:val="Emphasis"/>
    <w:basedOn w:val="52"/>
    <w:qFormat/>
    <w:uiPriority w:val="0"/>
    <w:rPr>
      <w:i/>
      <w:iCs/>
    </w:rPr>
  </w:style>
  <w:style w:type="character" w:styleId="57">
    <w:name w:val="Hyperlink"/>
    <w:basedOn w:val="52"/>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link w:val="160"/>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eastAsia="宋体" w:cs="Times New Roman"/>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rPr>
  </w:style>
  <w:style w:type="character" w:customStyle="1" w:styleId="137">
    <w:name w:val="不明显强调1"/>
    <w:basedOn w:val="52"/>
    <w:qFormat/>
    <w:uiPriority w:val="19"/>
    <w:rPr>
      <w:i/>
      <w:iCs/>
      <w:color w:val="3F3F3F" w:themeColor="text1" w:themeTint="BF"/>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3F3F3F" w:themeColor="text1" w:themeTint="BF"/>
    </w:rPr>
  </w:style>
  <w:style w:type="character" w:customStyle="1" w:styleId="147">
    <w:name w:val="Intense Emphasis1"/>
    <w:basedOn w:val="52"/>
    <w:qFormat/>
    <w:uiPriority w:val="21"/>
    <w:rPr>
      <w:i/>
      <w:iCs/>
      <w:color w:val="5B9BD5" w:themeColor="accent1"/>
    </w:rPr>
  </w:style>
  <w:style w:type="character" w:customStyle="1" w:styleId="148">
    <w:name w:val="Subtle Reference1"/>
    <w:basedOn w:val="52"/>
    <w:qFormat/>
    <w:uiPriority w:val="31"/>
    <w:rPr>
      <w:smallCaps/>
      <w:color w:val="585858" w:themeColor="text1" w:themeTint="A6"/>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List Paragraph1"/>
    <w:basedOn w:val="1"/>
    <w:qFormat/>
    <w:uiPriority w:val="99"/>
    <w:pPr>
      <w:overflowPunct/>
      <w:autoSpaceDE/>
      <w:autoSpaceDN/>
      <w:adjustRightInd/>
      <w:spacing w:after="120"/>
      <w:ind w:left="720" w:hanging="360"/>
      <w:textAlignment w:val="auto"/>
    </w:pPr>
    <w:rPr>
      <w:rFonts w:eastAsia="Calibri"/>
      <w:szCs w:val="22"/>
      <w:lang w:val="en-GB"/>
    </w:rPr>
  </w:style>
  <w:style w:type="paragraph" w:customStyle="1" w:styleId="159">
    <w:name w:val="正文3"/>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160">
    <w:name w:val="TAH Car"/>
    <w:link w:val="63"/>
    <w:qFormat/>
    <w:uiPriority w:val="0"/>
    <w:rPr>
      <w:rFonts w:ascii="Arial" w:hAnsi="Arial" w:eastAsia="宋体" w:cs="Times New Roman"/>
      <w:b/>
      <w:sz w:val="18"/>
      <w:lang w:eastAsia="en-US"/>
    </w:rPr>
  </w:style>
  <w:style w:type="character" w:customStyle="1" w:styleId="161">
    <w:name w:val="正文文本缩进 Char"/>
    <w:basedOn w:val="52"/>
    <w:link w:val="33"/>
    <w:qFormat/>
    <w:uiPriority w:val="0"/>
    <w:rPr>
      <w:rFonts w:ascii="Times New Roman" w:hAnsi="Times New Roman" w:eastAsia="楷体_GB2312" w:cs="Times New Roman"/>
      <w:sz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B00527F8-4F8F-44CB-A8BD-E4F17CA10FEF}">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3</Pages>
  <Words>1002</Words>
  <Characters>5713</Characters>
  <Lines>47</Lines>
  <Paragraphs>13</Paragraphs>
  <TotalTime>0</TotalTime>
  <ScaleCrop>false</ScaleCrop>
  <LinksUpToDate>false</LinksUpToDate>
  <CharactersWithSpaces>6702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2021-09-22T07:32:00Z</dcterms:created>
  <dc:creator>ZTE Corporation</dc:creator>
  <cp:lastModifiedBy>ZTE</cp:lastModifiedBy>
  <cp:lastPrinted>2018-04-07T03:05:00Z</cp:lastPrinted>
  <dcterms:modified xsi:type="dcterms:W3CDTF">2022-02-08T11:03:05Z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